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CEE58B4">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66A5D880">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5E2FE68B">
      <w:pPr>
        <w:keepNext/>
        <w:keepLines/>
        <w:spacing w:before="260" w:after="260" w:line="416" w:lineRule="atLeast"/>
        <w:jc w:val="center"/>
        <w:outlineLvl w:val="1"/>
        <w:rPr>
          <w:rFonts w:hint="eastAsia" w:ascii="Times New Roman" w:hAnsi="Times New Roman" w:eastAsia="宋体"/>
          <w:b/>
          <w:bCs/>
          <w:sz w:val="28"/>
          <w:szCs w:val="28"/>
          <w:lang w:eastAsia="zh-CN"/>
        </w:rPr>
      </w:pPr>
      <w:r>
        <w:rPr>
          <w:rFonts w:hint="eastAsia" w:ascii="Times New Roman" w:hAnsi="Times New Roman" w:eastAsia="宋体"/>
          <w:b/>
          <w:bCs/>
          <w:sz w:val="28"/>
          <w:szCs w:val="28"/>
          <w:lang w:eastAsia="zh-CN"/>
        </w:rPr>
        <w:drawing>
          <wp:inline distT="0" distB="0" distL="114300" distR="114300">
            <wp:extent cx="7068820" cy="661035"/>
            <wp:effectExtent l="0" t="0" r="0" b="0"/>
            <wp:docPr id="5" name="图片 5"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十四五国规标"/>
                    <pic:cNvPicPr>
                      <a:picLocks noChangeAspect="1"/>
                    </pic:cNvPicPr>
                  </pic:nvPicPr>
                  <pic:blipFill>
                    <a:blip r:embed="rId6"/>
                    <a:srcRect t="46761" b="46627"/>
                    <a:stretch>
                      <a:fillRect/>
                    </a:stretch>
                  </pic:blipFill>
                  <pic:spPr>
                    <a:xfrm>
                      <a:off x="0" y="0"/>
                      <a:ext cx="7068820" cy="661035"/>
                    </a:xfrm>
                    <a:prstGeom prst="rect">
                      <a:avLst/>
                    </a:prstGeom>
                  </pic:spPr>
                </pic:pic>
              </a:graphicData>
            </a:graphic>
          </wp:inline>
        </w:drawing>
      </w:r>
    </w:p>
    <w:p w14:paraId="21545871">
      <w:pPr>
        <w:keepNext/>
        <w:keepLines/>
        <w:spacing w:before="260" w:after="260" w:line="240" w:lineRule="auto"/>
        <w:jc w:val="both"/>
        <w:outlineLvl w:val="1"/>
        <w:rPr>
          <w:rFonts w:hint="eastAsia" w:ascii="Times New Roman" w:hAnsi="Times New Roman"/>
          <w:b/>
          <w:bCs/>
          <w:sz w:val="30"/>
          <w:szCs w:val="30"/>
          <w:lang w:val="en-US" w:eastAsia="zh-CN"/>
        </w:rPr>
      </w:pPr>
    </w:p>
    <w:p w14:paraId="26881B23">
      <w:pPr>
        <w:keepNext/>
        <w:keepLines/>
        <w:spacing w:before="260" w:after="260" w:line="240" w:lineRule="auto"/>
        <w:jc w:val="both"/>
        <w:outlineLvl w:val="1"/>
        <w:rPr>
          <w:rFonts w:hint="eastAsia" w:ascii="Times New Roman" w:hAnsi="Times New Roman"/>
          <w:b/>
          <w:bCs/>
          <w:sz w:val="30"/>
          <w:szCs w:val="30"/>
          <w:lang w:val="en-US" w:eastAsia="zh-CN"/>
        </w:rPr>
      </w:pPr>
    </w:p>
    <w:p w14:paraId="5E81C5F3">
      <w:pPr>
        <w:keepNext/>
        <w:keepLines/>
        <w:spacing w:before="260" w:after="260" w:line="240" w:lineRule="auto"/>
        <w:jc w:val="center"/>
        <w:outlineLvl w:val="1"/>
        <w:rPr>
          <w:rFonts w:hint="eastAsia" w:ascii="Times New Roman" w:hAnsi="Times New Roman"/>
          <w:b/>
          <w:bCs/>
          <w:sz w:val="52"/>
          <w:szCs w:val="52"/>
        </w:rPr>
      </w:pPr>
      <w:r>
        <w:rPr>
          <w:rFonts w:hint="eastAsia" w:ascii="汉仪菱心体简" w:hAnsi="汉仪菱心体简" w:eastAsia="汉仪菱心体简" w:cs="汉仪菱心体简"/>
          <w:i w:val="0"/>
          <w:caps w:val="0"/>
          <w:color w:val="6787B2"/>
          <w:spacing w:val="0"/>
          <w:sz w:val="84"/>
          <w:szCs w:val="84"/>
          <w:shd w:val="clear" w:fill="FFFFFF"/>
          <w:lang w:val="en-US" w:eastAsia="zh-CN"/>
        </w:rPr>
        <w:t>教案</w:t>
      </w:r>
    </w:p>
    <w:p w14:paraId="412EDB9B">
      <w:pPr>
        <w:keepNext/>
        <w:keepLines/>
        <w:spacing w:before="260" w:after="260" w:line="240" w:lineRule="auto"/>
        <w:jc w:val="center"/>
        <w:outlineLvl w:val="1"/>
        <w:rPr>
          <w:rFonts w:hint="eastAsia" w:ascii="思源宋体 CN Heavy" w:hAnsi="思源宋体 CN Heavy" w:eastAsia="思源宋体 CN Heavy" w:cs="思源宋体 CN Heavy"/>
          <w:b/>
          <w:bCs/>
          <w:color w:val="6787B2"/>
          <w:sz w:val="112"/>
          <w:szCs w:val="112"/>
        </w:rPr>
      </w:pPr>
      <w:r>
        <w:rPr>
          <w:rFonts w:hint="eastAsia" w:ascii="思源宋体 CN Heavy" w:hAnsi="思源宋体 CN Heavy" w:eastAsia="思源宋体 CN Heavy" w:cs="思源宋体 CN Heavy"/>
          <w:b/>
          <w:bCs/>
          <w:color w:val="6787B2"/>
          <w:sz w:val="112"/>
          <w:szCs w:val="112"/>
        </w:rPr>
        <w:t>急救护理技术</w:t>
      </w:r>
    </w:p>
    <w:p w14:paraId="1DE0F138">
      <w:pPr>
        <w:keepNext/>
        <w:keepLines/>
        <w:spacing w:before="260" w:after="260" w:line="240" w:lineRule="auto"/>
        <w:jc w:val="center"/>
        <w:outlineLvl w:val="1"/>
        <w:rPr>
          <w:rFonts w:hint="default" w:ascii="Times New Roman" w:hAnsi="Times New Roman" w:eastAsia="宋体"/>
          <w:b/>
          <w:bCs/>
          <w:color w:val="2E75B6" w:themeColor="accent1" w:themeShade="BF"/>
          <w:sz w:val="52"/>
          <w:szCs w:val="52"/>
          <w:lang w:val="en-US" w:eastAsia="zh-CN"/>
        </w:rPr>
      </w:pPr>
      <w:r>
        <w:rPr>
          <w:rFonts w:hint="eastAsia" w:ascii="Times New Roman" w:hAnsi="Times New Roman"/>
          <w:b/>
          <w:bCs/>
          <w:color w:val="2E75B6" w:themeColor="accent1" w:themeShade="BF"/>
          <w:sz w:val="52"/>
          <w:szCs w:val="52"/>
          <w:lang w:eastAsia="zh-CN"/>
        </w:rPr>
        <w:t>（</w:t>
      </w:r>
      <w:r>
        <w:rPr>
          <w:rFonts w:hint="eastAsia" w:ascii="Times New Roman" w:hAnsi="Times New Roman"/>
          <w:b/>
          <w:bCs/>
          <w:color w:val="2E75B6" w:themeColor="accent1" w:themeShade="BF"/>
          <w:sz w:val="52"/>
          <w:szCs w:val="52"/>
          <w:lang w:val="en-US" w:eastAsia="zh-CN"/>
        </w:rPr>
        <w:t>第二版）</w:t>
      </w:r>
    </w:p>
    <w:p w14:paraId="7F875E9A">
      <w:pPr>
        <w:keepNext/>
        <w:keepLines/>
        <w:spacing w:before="260" w:after="260" w:line="240" w:lineRule="auto"/>
        <w:jc w:val="center"/>
        <w:outlineLvl w:val="1"/>
        <w:rPr>
          <w:rFonts w:hint="eastAsia" w:ascii="Times New Roman" w:hAnsi="Times New Roman"/>
          <w:b/>
          <w:bCs/>
          <w:sz w:val="28"/>
          <w:szCs w:val="28"/>
        </w:rPr>
      </w:pPr>
    </w:p>
    <w:p w14:paraId="25768923">
      <w:pPr>
        <w:keepNext/>
        <w:keepLines/>
        <w:spacing w:before="260" w:after="260" w:line="240" w:lineRule="auto"/>
        <w:jc w:val="center"/>
        <w:outlineLvl w:val="1"/>
        <w:rPr>
          <w:rFonts w:hint="eastAsia" w:ascii="Times New Roman" w:hAnsi="Times New Roman"/>
          <w:b/>
          <w:bCs/>
          <w:sz w:val="28"/>
          <w:szCs w:val="28"/>
        </w:rPr>
      </w:pPr>
    </w:p>
    <w:p w14:paraId="00F1166D">
      <w:pPr>
        <w:keepNext/>
        <w:keepLines/>
        <w:spacing w:before="260" w:after="260" w:line="240" w:lineRule="auto"/>
        <w:jc w:val="both"/>
        <w:outlineLvl w:val="1"/>
        <w:rPr>
          <w:rFonts w:hint="eastAsia" w:ascii="Times New Roman" w:hAnsi="Times New Roman"/>
          <w:b/>
          <w:bCs/>
          <w:sz w:val="28"/>
          <w:szCs w:val="28"/>
        </w:rPr>
      </w:pPr>
    </w:p>
    <w:p w14:paraId="3D194E08">
      <w:pPr>
        <w:keepNext/>
        <w:keepLines/>
        <w:spacing w:before="260" w:after="260" w:line="240" w:lineRule="auto"/>
        <w:jc w:val="both"/>
        <w:outlineLvl w:val="1"/>
        <w:rPr>
          <w:rFonts w:hint="eastAsia" w:ascii="Times New Roman" w:hAnsi="Times New Roman"/>
          <w:b/>
          <w:bCs/>
          <w:sz w:val="28"/>
          <w:szCs w:val="28"/>
        </w:rPr>
      </w:pPr>
    </w:p>
    <w:p w14:paraId="17BE5798">
      <w:pPr>
        <w:keepNext/>
        <w:keepLines/>
        <w:spacing w:before="260" w:after="260" w:line="240" w:lineRule="auto"/>
        <w:jc w:val="center"/>
        <w:outlineLvl w:val="1"/>
        <w:rPr>
          <w:rFonts w:hint="eastAsia" w:ascii="Times New Roman" w:hAnsi="Times New Roman"/>
          <w:b/>
          <w:bCs/>
          <w:sz w:val="28"/>
          <w:szCs w:val="28"/>
        </w:rPr>
      </w:pPr>
      <w:r>
        <w:rPr>
          <w:rFonts w:hint="eastAsia" w:ascii="Times New Roman" w:hAnsi="Times New Roman"/>
          <w:b/>
          <w:bCs/>
          <w:color w:val="8FAADC" w:themeColor="accent5" w:themeTint="99"/>
          <w:sz w:val="28"/>
          <w:szCs w:val="28"/>
          <w:lang w:val="en-US" w:eastAsia="zh-CN"/>
          <w14:textFill>
            <w14:solidFill>
              <w14:schemeClr w14:val="accent5">
                <w14:lumMod w14:val="60000"/>
                <w14:lumOff w14:val="40000"/>
              </w14:schemeClr>
            </w14:solidFill>
          </w14:textFill>
        </w:rPr>
        <w:t>北京出版社</w:t>
      </w:r>
    </w:p>
    <w:p w14:paraId="4CE1FFFF">
      <w:pPr>
        <w:keepNext/>
        <w:keepLines/>
        <w:spacing w:before="260" w:after="260" w:line="240" w:lineRule="auto"/>
        <w:jc w:val="both"/>
        <w:outlineLvl w:val="1"/>
        <w:rPr>
          <w:rFonts w:hint="eastAsia" w:ascii="Times New Roman" w:hAnsi="Times New Roman"/>
          <w:b/>
          <w:bCs/>
          <w:sz w:val="28"/>
          <w:szCs w:val="28"/>
        </w:rPr>
        <w:sectPr>
          <w:headerReference r:id="rId4" w:type="first"/>
          <w:headerReference r:id="rId3" w:type="default"/>
          <w:pgSz w:w="11906" w:h="16838"/>
          <w:pgMar w:top="0" w:right="170" w:bottom="0" w:left="170" w:header="567" w:footer="850" w:gutter="0"/>
          <w:pgBorders>
            <w:top w:val="none" w:sz="0" w:space="0"/>
            <w:left w:val="none" w:sz="0" w:space="0"/>
            <w:bottom w:val="none" w:sz="0" w:space="0"/>
            <w:right w:val="none" w:sz="0" w:space="0"/>
          </w:pgBorders>
          <w:cols w:space="425" w:num="1"/>
          <w:titlePg/>
          <w:docGrid w:type="lines" w:linePitch="312" w:charSpace="0"/>
        </w:sectPr>
      </w:pPr>
    </w:p>
    <w:p w14:paraId="45BEE8F2">
      <w:pPr>
        <w:pStyle w:val="3"/>
        <w:bidi w:val="0"/>
        <w:jc w:val="center"/>
        <w:rPr>
          <w:rFonts w:hint="eastAsia"/>
          <w:sz w:val="52"/>
          <w:szCs w:val="52"/>
          <w:lang w:eastAsia="zh-CN"/>
        </w:rPr>
      </w:pPr>
      <w:r>
        <w:rPr>
          <w:rFonts w:hint="eastAsia"/>
          <w:sz w:val="52"/>
          <w:szCs w:val="52"/>
          <w:lang w:eastAsia="zh-CN"/>
        </w:rPr>
        <w:t>课时分配表</w:t>
      </w:r>
    </w:p>
    <w:tbl>
      <w:tblPr>
        <w:tblStyle w:val="11"/>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Layout w:type="autofit"/>
        <w:tblCellMar>
          <w:top w:w="0" w:type="dxa"/>
          <w:left w:w="108" w:type="dxa"/>
          <w:bottom w:w="0" w:type="dxa"/>
          <w:right w:w="108" w:type="dxa"/>
        </w:tblCellMar>
      </w:tblPr>
      <w:tblGrid>
        <w:gridCol w:w="1176"/>
        <w:gridCol w:w="5269"/>
        <w:gridCol w:w="1735"/>
        <w:gridCol w:w="2025"/>
      </w:tblGrid>
      <w:tr w14:paraId="78EF2C4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00B0F0"/>
            <w:vAlign w:val="center"/>
          </w:tcPr>
          <w:p w14:paraId="1E225C1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章序</w:t>
            </w:r>
          </w:p>
        </w:tc>
        <w:tc>
          <w:tcPr>
            <w:tcW w:w="4166" w:type="dxa"/>
            <w:tcBorders>
              <w:tl2br w:val="nil"/>
              <w:tr2bl w:val="nil"/>
            </w:tcBorders>
            <w:shd w:val="clear" w:color="auto" w:fill="00B0F0"/>
            <w:vAlign w:val="center"/>
          </w:tcPr>
          <w:p w14:paraId="25F082C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课程内容</w:t>
            </w:r>
          </w:p>
        </w:tc>
        <w:tc>
          <w:tcPr>
            <w:tcW w:w="1372" w:type="dxa"/>
            <w:tcBorders>
              <w:tl2br w:val="nil"/>
              <w:tr2bl w:val="nil"/>
            </w:tcBorders>
            <w:shd w:val="clear" w:color="auto" w:fill="00B0F0"/>
            <w:vAlign w:val="center"/>
          </w:tcPr>
          <w:p w14:paraId="24A4E4C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课时</w:t>
            </w:r>
          </w:p>
        </w:tc>
        <w:tc>
          <w:tcPr>
            <w:tcW w:w="1600" w:type="dxa"/>
            <w:tcBorders>
              <w:tl2br w:val="nil"/>
              <w:tr2bl w:val="nil"/>
            </w:tcBorders>
            <w:shd w:val="clear" w:color="auto" w:fill="00B0F0"/>
            <w:vAlign w:val="center"/>
          </w:tcPr>
          <w:p w14:paraId="2357717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备注</w:t>
            </w:r>
          </w:p>
        </w:tc>
      </w:tr>
      <w:tr w14:paraId="78CA2A9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4A50F93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w:t>
            </w:r>
          </w:p>
        </w:tc>
        <w:tc>
          <w:tcPr>
            <w:tcW w:w="4166" w:type="dxa"/>
            <w:tcBorders>
              <w:tl2br w:val="nil"/>
              <w:tr2bl w:val="nil"/>
            </w:tcBorders>
            <w:shd w:val="clear" w:color="auto" w:fill="FFFFFF"/>
            <w:vAlign w:val="center"/>
          </w:tcPr>
          <w:p w14:paraId="4C9AFE7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cs="宋体"/>
                <w:b/>
                <w:bCs/>
                <w:color w:val="000000" w:themeColor="text1"/>
                <w:sz w:val="24"/>
                <w:szCs w:val="24"/>
                <w:vertAlign w:val="baseline"/>
                <w:lang w:eastAsia="zh-CN"/>
                <w14:textFill>
                  <w14:solidFill>
                    <w14:schemeClr w14:val="tx1"/>
                  </w14:solidFill>
                </w14:textFill>
              </w:rPr>
              <w:t>绪论</w:t>
            </w:r>
          </w:p>
        </w:tc>
        <w:tc>
          <w:tcPr>
            <w:tcW w:w="1372" w:type="dxa"/>
            <w:tcBorders>
              <w:tl2br w:val="nil"/>
              <w:tr2bl w:val="nil"/>
            </w:tcBorders>
            <w:shd w:val="clear" w:color="auto" w:fill="FFFFFF"/>
            <w:vAlign w:val="center"/>
          </w:tcPr>
          <w:p w14:paraId="6A709D9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1600" w:type="dxa"/>
            <w:tcBorders>
              <w:tl2br w:val="nil"/>
              <w:tr2bl w:val="nil"/>
            </w:tcBorders>
            <w:shd w:val="clear" w:color="auto" w:fill="FFFFFF"/>
            <w:vAlign w:val="center"/>
          </w:tcPr>
          <w:p w14:paraId="6AD0D18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CA6F9B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6274E04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4166" w:type="dxa"/>
            <w:tcBorders>
              <w:tl2br w:val="nil"/>
              <w:tr2bl w:val="nil"/>
            </w:tcBorders>
            <w:shd w:val="clear" w:color="auto" w:fill="FFFFFF"/>
            <w:vAlign w:val="center"/>
          </w:tcPr>
          <w:p w14:paraId="14BF6B9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院外急救护理</w:t>
            </w:r>
          </w:p>
        </w:tc>
        <w:tc>
          <w:tcPr>
            <w:tcW w:w="1372" w:type="dxa"/>
            <w:tcBorders>
              <w:tl2br w:val="nil"/>
              <w:tr2bl w:val="nil"/>
            </w:tcBorders>
            <w:shd w:val="clear" w:color="auto" w:fill="FFFFFF"/>
            <w:vAlign w:val="center"/>
          </w:tcPr>
          <w:p w14:paraId="6260A84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1600" w:type="dxa"/>
            <w:tcBorders>
              <w:tl2br w:val="nil"/>
              <w:tr2bl w:val="nil"/>
            </w:tcBorders>
            <w:shd w:val="clear" w:color="auto" w:fill="FFFFFF"/>
            <w:vAlign w:val="center"/>
          </w:tcPr>
          <w:p w14:paraId="409D800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3F6211E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B1E498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4166" w:type="dxa"/>
            <w:tcBorders>
              <w:tl2br w:val="nil"/>
              <w:tr2bl w:val="nil"/>
            </w:tcBorders>
            <w:shd w:val="clear" w:color="auto" w:fill="FFFFFF"/>
            <w:vAlign w:val="center"/>
          </w:tcPr>
          <w:p w14:paraId="13A17C8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医院急诊科管理</w:t>
            </w:r>
          </w:p>
        </w:tc>
        <w:tc>
          <w:tcPr>
            <w:tcW w:w="1372" w:type="dxa"/>
            <w:tcBorders>
              <w:tl2br w:val="nil"/>
              <w:tr2bl w:val="nil"/>
            </w:tcBorders>
            <w:shd w:val="clear" w:color="auto" w:fill="FFFFFF"/>
            <w:vAlign w:val="center"/>
          </w:tcPr>
          <w:p w14:paraId="539AB3C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1600" w:type="dxa"/>
            <w:tcBorders>
              <w:tl2br w:val="nil"/>
              <w:tr2bl w:val="nil"/>
            </w:tcBorders>
            <w:shd w:val="clear" w:color="auto" w:fill="FFFFFF"/>
            <w:vAlign w:val="center"/>
          </w:tcPr>
          <w:p w14:paraId="3DA5404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9042AB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7A8F085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4166" w:type="dxa"/>
            <w:tcBorders>
              <w:tl2br w:val="nil"/>
              <w:tr2bl w:val="nil"/>
            </w:tcBorders>
            <w:shd w:val="clear" w:color="auto" w:fill="FFFFFF"/>
            <w:vAlign w:val="center"/>
          </w:tcPr>
          <w:p w14:paraId="1B11DD8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重症监护</w:t>
            </w:r>
          </w:p>
        </w:tc>
        <w:tc>
          <w:tcPr>
            <w:tcW w:w="1372" w:type="dxa"/>
            <w:tcBorders>
              <w:tl2br w:val="nil"/>
              <w:tr2bl w:val="nil"/>
            </w:tcBorders>
            <w:shd w:val="clear" w:color="auto" w:fill="FFFFFF"/>
            <w:vAlign w:val="center"/>
          </w:tcPr>
          <w:p w14:paraId="04ACE61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1600" w:type="dxa"/>
            <w:tcBorders>
              <w:tl2br w:val="nil"/>
              <w:tr2bl w:val="nil"/>
            </w:tcBorders>
            <w:shd w:val="clear" w:color="auto" w:fill="FFFFFF"/>
            <w:vAlign w:val="center"/>
          </w:tcPr>
          <w:p w14:paraId="7F3619A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745D11D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142D9E6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4166" w:type="dxa"/>
            <w:tcBorders>
              <w:tl2br w:val="nil"/>
              <w:tr2bl w:val="nil"/>
            </w:tcBorders>
            <w:shd w:val="clear" w:color="auto" w:fill="FFFFFF"/>
            <w:vAlign w:val="center"/>
          </w:tcPr>
          <w:p w14:paraId="107DAA4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心肺脑复苏技术与护理</w:t>
            </w:r>
          </w:p>
        </w:tc>
        <w:tc>
          <w:tcPr>
            <w:tcW w:w="1372" w:type="dxa"/>
            <w:tcBorders>
              <w:tl2br w:val="nil"/>
              <w:tr2bl w:val="nil"/>
            </w:tcBorders>
            <w:shd w:val="clear" w:color="auto" w:fill="FFFFFF"/>
            <w:vAlign w:val="center"/>
          </w:tcPr>
          <w:p w14:paraId="32550FE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1600" w:type="dxa"/>
            <w:tcBorders>
              <w:tl2br w:val="nil"/>
              <w:tr2bl w:val="nil"/>
            </w:tcBorders>
            <w:shd w:val="clear" w:color="auto" w:fill="FFFFFF"/>
            <w:vAlign w:val="center"/>
          </w:tcPr>
          <w:p w14:paraId="1006B36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4258601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5DC72AF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4166" w:type="dxa"/>
            <w:tcBorders>
              <w:tl2br w:val="nil"/>
              <w:tr2bl w:val="nil"/>
            </w:tcBorders>
            <w:shd w:val="clear" w:color="auto" w:fill="FFFFFF"/>
            <w:vAlign w:val="center"/>
          </w:tcPr>
          <w:p w14:paraId="2D57CD6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理化因素所致疾病患者的急救与护理</w:t>
            </w:r>
          </w:p>
        </w:tc>
        <w:tc>
          <w:tcPr>
            <w:tcW w:w="1372" w:type="dxa"/>
            <w:tcBorders>
              <w:tl2br w:val="nil"/>
              <w:tr2bl w:val="nil"/>
            </w:tcBorders>
            <w:shd w:val="clear" w:color="auto" w:fill="FFFFFF"/>
            <w:vAlign w:val="center"/>
          </w:tcPr>
          <w:p w14:paraId="265833C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1600" w:type="dxa"/>
            <w:tcBorders>
              <w:tl2br w:val="nil"/>
              <w:tr2bl w:val="nil"/>
            </w:tcBorders>
            <w:shd w:val="clear" w:color="auto" w:fill="FFFFFF"/>
            <w:vAlign w:val="center"/>
          </w:tcPr>
          <w:p w14:paraId="6A0187F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AC8BBA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50C9DA7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7</w:t>
            </w:r>
          </w:p>
        </w:tc>
        <w:tc>
          <w:tcPr>
            <w:tcW w:w="4166" w:type="dxa"/>
            <w:tcBorders>
              <w:tl2br w:val="nil"/>
              <w:tr2bl w:val="nil"/>
            </w:tcBorders>
            <w:shd w:val="clear" w:color="auto" w:fill="FFFFFF"/>
            <w:vAlign w:val="center"/>
          </w:tcPr>
          <w:p w14:paraId="57DF370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常用救护技术及护理</w:t>
            </w:r>
          </w:p>
        </w:tc>
        <w:tc>
          <w:tcPr>
            <w:tcW w:w="1372" w:type="dxa"/>
            <w:tcBorders>
              <w:tl2br w:val="nil"/>
              <w:tr2bl w:val="nil"/>
            </w:tcBorders>
            <w:shd w:val="clear" w:color="auto" w:fill="FFFFFF"/>
            <w:vAlign w:val="center"/>
          </w:tcPr>
          <w:p w14:paraId="5A5A048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1600" w:type="dxa"/>
            <w:tcBorders>
              <w:tl2br w:val="nil"/>
              <w:tr2bl w:val="nil"/>
            </w:tcBorders>
            <w:shd w:val="clear" w:color="auto" w:fill="FFFFFF"/>
            <w:vAlign w:val="center"/>
          </w:tcPr>
          <w:p w14:paraId="115AA2C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EC0835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74D6BFE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总计</w:t>
            </w:r>
          </w:p>
        </w:tc>
        <w:tc>
          <w:tcPr>
            <w:tcW w:w="4166" w:type="dxa"/>
            <w:tcBorders>
              <w:tl2br w:val="nil"/>
              <w:tr2bl w:val="nil"/>
            </w:tcBorders>
            <w:shd w:val="clear" w:color="auto" w:fill="FFFFFF"/>
            <w:vAlign w:val="center"/>
          </w:tcPr>
          <w:p w14:paraId="7BB0B68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c>
          <w:tcPr>
            <w:tcW w:w="1372" w:type="dxa"/>
            <w:tcBorders>
              <w:tl2br w:val="nil"/>
              <w:tr2bl w:val="nil"/>
            </w:tcBorders>
            <w:shd w:val="clear" w:color="auto" w:fill="FFFFFF"/>
            <w:vAlign w:val="center"/>
          </w:tcPr>
          <w:p w14:paraId="5D4092A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32</w:t>
            </w:r>
          </w:p>
        </w:tc>
        <w:tc>
          <w:tcPr>
            <w:tcW w:w="1600" w:type="dxa"/>
            <w:tcBorders>
              <w:tl2br w:val="nil"/>
              <w:tr2bl w:val="nil"/>
            </w:tcBorders>
            <w:shd w:val="clear" w:color="auto" w:fill="FFFFFF"/>
            <w:vAlign w:val="center"/>
          </w:tcPr>
          <w:p w14:paraId="3C1F6DC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bl>
    <w:p w14:paraId="178ED8A7">
      <w:pPr>
        <w:rPr>
          <w:rFonts w:hint="eastAsia" w:ascii="黑体" w:hAnsi="黑体" w:eastAsia="黑体" w:cs="黑体"/>
          <w:b/>
          <w:bCs/>
          <w:color w:val="000000" w:themeColor="text1"/>
          <w:sz w:val="44"/>
          <w:szCs w:val="44"/>
          <w:lang w:eastAsia="zh-CN"/>
          <w14:textFill>
            <w14:solidFill>
              <w14:schemeClr w14:val="tx1"/>
            </w14:solidFill>
          </w14:textFill>
        </w:rPr>
      </w:pPr>
    </w:p>
    <w:p w14:paraId="5F3F8945">
      <w:pPr>
        <w:rPr>
          <w:rFonts w:hint="eastAsia" w:ascii="微软简老宋" w:hAnsi="微软简老宋" w:eastAsia="微软简老宋" w:cs="微软简老宋"/>
          <w:b w:val="0"/>
          <w:bCs w:val="0"/>
          <w:color w:val="00B0F0"/>
          <w:sz w:val="32"/>
          <w:szCs w:val="32"/>
        </w:rPr>
      </w:pPr>
      <w:r>
        <w:rPr>
          <w:rFonts w:hint="eastAsia" w:ascii="微软简老宋" w:hAnsi="微软简老宋" w:eastAsia="微软简老宋" w:cs="微软简老宋"/>
          <w:b w:val="0"/>
          <w:bCs w:val="0"/>
          <w:color w:val="00B0F0"/>
          <w:sz w:val="32"/>
          <w:szCs w:val="32"/>
        </w:rPr>
        <w:br w:type="page"/>
      </w:r>
    </w:p>
    <w:p w14:paraId="7C01B318">
      <w:pPr>
        <w:pStyle w:val="3"/>
        <w:bidi w:val="0"/>
        <w:jc w:val="center"/>
        <w:rPr>
          <w:rFonts w:hint="eastAsia"/>
          <w:color w:val="6787B2"/>
          <w:lang w:eastAsia="zh-CN"/>
        </w:rPr>
      </w:pPr>
      <w:r>
        <w:rPr>
          <w:rFonts w:hint="eastAsia" w:ascii="Times New Roman" w:hAnsi="Times New Roman"/>
          <w:b/>
          <w:bCs/>
          <w:sz w:val="28"/>
          <w:szCs w:val="28"/>
        </w:rPr>
        <w:t>第</w:t>
      </w:r>
      <w:r>
        <w:rPr>
          <w:rFonts w:hint="eastAsia" w:ascii="Times New Roman" w:hAnsi="Times New Roman"/>
          <w:b/>
          <w:bCs/>
          <w:sz w:val="28"/>
          <w:szCs w:val="28"/>
          <w:lang w:val="en-US" w:eastAsia="zh-CN"/>
        </w:rPr>
        <w:t>4</w:t>
      </w:r>
      <w:r>
        <w:rPr>
          <w:rFonts w:hint="eastAsia" w:ascii="Times New Roman" w:hAnsi="Times New Roman"/>
          <w:b/>
          <w:bCs/>
          <w:sz w:val="28"/>
          <w:szCs w:val="28"/>
        </w:rPr>
        <w:t>课</w:t>
      </w:r>
      <w:r>
        <w:rPr>
          <w:rFonts w:hint="eastAsia" w:ascii="Times New Roman" w:hAnsi="Times New Roman"/>
          <w:b/>
          <w:bCs/>
          <w:sz w:val="28"/>
          <w:szCs w:val="28"/>
          <w:lang w:val="en-US" w:eastAsia="zh-CN"/>
        </w:rPr>
        <w:t xml:space="preserve">  </w:t>
      </w:r>
      <w:r>
        <w:rPr>
          <w:rFonts w:hint="eastAsia" w:ascii="Times New Roman" w:hAnsi="Times New Roman"/>
          <w:b/>
          <w:bCs/>
          <w:sz w:val="28"/>
          <w:szCs w:val="28"/>
          <w:lang w:eastAsia="zh-CN"/>
        </w:rPr>
        <w:t>重症监护</w:t>
      </w:r>
    </w:p>
    <w:tbl>
      <w:tblPr>
        <w:tblStyle w:val="10"/>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Layout w:type="fixed"/>
        <w:tblCellMar>
          <w:top w:w="0" w:type="dxa"/>
          <w:left w:w="108" w:type="dxa"/>
          <w:bottom w:w="0" w:type="dxa"/>
          <w:right w:w="108" w:type="dxa"/>
        </w:tblCellMar>
      </w:tblPr>
      <w:tblGrid>
        <w:gridCol w:w="1541"/>
        <w:gridCol w:w="7014"/>
        <w:gridCol w:w="1650"/>
      </w:tblGrid>
      <w:tr w14:paraId="2CB7157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11E2844E">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课</w:t>
            </w:r>
            <w:r>
              <w:rPr>
                <w:rFonts w:hint="eastAsia" w:ascii="Times New Roman" w:hAnsi="Times New Roman"/>
                <w:b/>
                <w:szCs w:val="20"/>
              </w:rPr>
              <w:t>题</w:t>
            </w:r>
          </w:p>
        </w:tc>
        <w:tc>
          <w:tcPr>
            <w:tcW w:w="7173" w:type="dxa"/>
            <w:gridSpan w:val="2"/>
            <w:tcBorders>
              <w:tl2br w:val="nil"/>
              <w:tr2bl w:val="nil"/>
            </w:tcBorders>
            <w:vAlign w:val="center"/>
          </w:tcPr>
          <w:p w14:paraId="31637886">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宋体"/>
                <w:szCs w:val="20"/>
                <w:lang w:eastAsia="zh-CN"/>
              </w:rPr>
              <w:t>重症监护</w:t>
            </w:r>
          </w:p>
        </w:tc>
      </w:tr>
      <w:tr w14:paraId="49AEC50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0075382D">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课时</w:t>
            </w:r>
          </w:p>
        </w:tc>
        <w:tc>
          <w:tcPr>
            <w:tcW w:w="7173" w:type="dxa"/>
            <w:gridSpan w:val="2"/>
            <w:tcBorders>
              <w:tl2br w:val="nil"/>
              <w:tr2bl w:val="nil"/>
            </w:tcBorders>
            <w:vAlign w:val="center"/>
          </w:tcPr>
          <w:p w14:paraId="47046ECD">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szCs w:val="20"/>
                <w:lang w:val="en-US" w:eastAsia="zh-CN"/>
              </w:rPr>
              <w:t>4</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180</w:t>
            </w:r>
            <w:r>
              <w:rPr>
                <w:rFonts w:hint="eastAsia" w:ascii="Times New Roman" w:hAnsi="宋体"/>
                <w:szCs w:val="20"/>
              </w:rPr>
              <w:t>min）。</w:t>
            </w:r>
          </w:p>
        </w:tc>
      </w:tr>
      <w:tr w14:paraId="2F438F7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35961DD1">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教学目标</w:t>
            </w:r>
          </w:p>
        </w:tc>
        <w:tc>
          <w:tcPr>
            <w:tcW w:w="7173" w:type="dxa"/>
            <w:gridSpan w:val="2"/>
            <w:tcBorders>
              <w:tl2br w:val="nil"/>
              <w:tr2bl w:val="nil"/>
            </w:tcBorders>
            <w:vAlign w:val="center"/>
          </w:tcPr>
          <w:p w14:paraId="6A081132">
            <w:pPr>
              <w:keepNext w:val="0"/>
              <w:keepLines w:val="0"/>
              <w:suppressLineNumbers w:val="0"/>
              <w:spacing w:before="0" w:beforeAutospacing="0" w:after="0" w:afterAutospacing="0" w:line="360" w:lineRule="auto"/>
              <w:ind w:left="0" w:right="0" w:hanging="8"/>
              <w:rPr>
                <w:rFonts w:hint="default"/>
                <w:b/>
              </w:rPr>
            </w:pPr>
            <w:r>
              <w:rPr>
                <w:rFonts w:hint="default" w:hAnsi="宋体"/>
                <w:b/>
              </w:rPr>
              <w:t>知识</w:t>
            </w:r>
            <w:r>
              <w:rPr>
                <w:rFonts w:hint="eastAsia" w:hAnsi="宋体"/>
                <w:b/>
              </w:rPr>
              <w:t>技能</w:t>
            </w:r>
            <w:r>
              <w:rPr>
                <w:rFonts w:hint="default" w:hAnsi="宋体"/>
                <w:b/>
              </w:rPr>
              <w:t>目标：</w:t>
            </w:r>
          </w:p>
          <w:p w14:paraId="388CCE99">
            <w:pPr>
              <w:keepNext w:val="0"/>
              <w:keepLines w:val="0"/>
              <w:suppressLineNumbers w:val="0"/>
              <w:spacing w:before="0" w:beforeAutospacing="0" w:after="0" w:afterAutospacing="0" w:line="360" w:lineRule="auto"/>
              <w:ind w:left="0" w:right="0" w:hanging="8"/>
              <w:rPr>
                <w:rFonts w:hint="default" w:ascii="Times New Roman" w:hAnsi="宋体"/>
                <w:bCs/>
                <w:szCs w:val="20"/>
              </w:rPr>
            </w:pPr>
            <w:r>
              <w:rPr>
                <w:rFonts w:hint="default" w:ascii="Times New Roman" w:hAnsi="Times New Roman"/>
                <w:szCs w:val="20"/>
              </w:rPr>
              <w:t>1</w:t>
            </w:r>
            <w:r>
              <w:rPr>
                <w:rFonts w:hint="default" w:ascii="Times New Roman" w:hAnsi="宋体"/>
                <w:bCs/>
                <w:szCs w:val="20"/>
              </w:rPr>
              <w:t>．</w:t>
            </w:r>
            <w:r>
              <w:rPr>
                <w:rFonts w:hint="eastAsia" w:ascii="Times New Roman" w:hAnsi="宋体"/>
                <w:bCs/>
                <w:szCs w:val="20"/>
              </w:rPr>
              <w:t>理解 ICU 的感染控制、收治患者原则及监护分级。</w:t>
            </w:r>
          </w:p>
          <w:p w14:paraId="122AB216">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Times New Roman"/>
                <w:szCs w:val="20"/>
              </w:rPr>
              <w:t>2</w:t>
            </w:r>
            <w:r>
              <w:rPr>
                <w:rFonts w:hint="default" w:ascii="Times New Roman" w:hAnsi="宋体"/>
                <w:bCs/>
                <w:szCs w:val="20"/>
              </w:rPr>
              <w:t>．</w:t>
            </w:r>
            <w:r>
              <w:rPr>
                <w:rFonts w:hint="eastAsia" w:ascii="Times New Roman" w:hAnsi="宋体"/>
                <w:bCs/>
                <w:szCs w:val="20"/>
              </w:rPr>
              <w:t>掌握ICU 的设置、收治患者的程序与对象、监护内容及常用的重症监护技术。</w:t>
            </w:r>
          </w:p>
          <w:p w14:paraId="23A51F7F">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14:paraId="349F700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default" w:ascii="Times New Roman" w:hAnsi="Times New Roman"/>
                <w:szCs w:val="20"/>
              </w:rPr>
            </w:pPr>
            <w:r>
              <w:rPr>
                <w:rFonts w:hint="eastAsia" w:ascii="Times New Roman" w:hAnsi="宋体"/>
                <w:bCs/>
                <w:szCs w:val="20"/>
              </w:rPr>
              <w:t>让学生通过重症监护，明白 ICU 进行有效的管理，最大限度地确保患者生存及生命质量。</w:t>
            </w:r>
          </w:p>
        </w:tc>
      </w:tr>
      <w:tr w14:paraId="0C46E58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030D0CA2">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教学重</w:t>
            </w:r>
            <w:r>
              <w:rPr>
                <w:rFonts w:hint="eastAsia" w:ascii="Times New Roman" w:hAnsi="宋体"/>
                <w:b/>
                <w:szCs w:val="20"/>
              </w:rPr>
              <w:t>难</w:t>
            </w:r>
            <w:r>
              <w:rPr>
                <w:rFonts w:hint="default" w:ascii="Times New Roman" w:hAnsi="宋体"/>
                <w:b/>
                <w:szCs w:val="20"/>
              </w:rPr>
              <w:t>点</w:t>
            </w:r>
          </w:p>
        </w:tc>
        <w:tc>
          <w:tcPr>
            <w:tcW w:w="7173" w:type="dxa"/>
            <w:gridSpan w:val="2"/>
            <w:tcBorders>
              <w:tl2br w:val="nil"/>
              <w:tr2bl w:val="nil"/>
            </w:tcBorders>
            <w:vAlign w:val="center"/>
          </w:tcPr>
          <w:p w14:paraId="7A3CC721">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重症监护病房（ICU）的组织与管理</w:t>
            </w:r>
          </w:p>
          <w:p w14:paraId="029B303E">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b/>
                <w:szCs w:val="20"/>
              </w:rPr>
              <w:t>教学难点：</w:t>
            </w:r>
            <w:r>
              <w:rPr>
                <w:rFonts w:hint="eastAsia" w:ascii="宋体" w:hAnsi="宋体" w:cs="宋体"/>
                <w:kern w:val="0"/>
              </w:rPr>
              <w:t>ICU 的收治程序、对象及治疗原则</w:t>
            </w:r>
          </w:p>
        </w:tc>
      </w:tr>
      <w:tr w14:paraId="7E4186D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18B222D5">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教学方法</w:t>
            </w:r>
          </w:p>
        </w:tc>
        <w:tc>
          <w:tcPr>
            <w:tcW w:w="7173" w:type="dxa"/>
            <w:gridSpan w:val="2"/>
            <w:tcBorders>
              <w:tl2br w:val="nil"/>
              <w:tr2bl w:val="nil"/>
            </w:tcBorders>
            <w:vAlign w:val="center"/>
          </w:tcPr>
          <w:p w14:paraId="6F36C864">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讲授法、问答法、讨论法</w:t>
            </w:r>
          </w:p>
        </w:tc>
      </w:tr>
      <w:tr w14:paraId="5135183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31EF387C">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教学用具</w:t>
            </w:r>
          </w:p>
        </w:tc>
        <w:tc>
          <w:tcPr>
            <w:tcW w:w="7173" w:type="dxa"/>
            <w:gridSpan w:val="2"/>
            <w:tcBorders>
              <w:tl2br w:val="nil"/>
              <w:tr2bl w:val="nil"/>
            </w:tcBorders>
            <w:vAlign w:val="center"/>
          </w:tcPr>
          <w:p w14:paraId="0C2DE41D">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5494709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bottom w:val="double" w:color="4472C4" w:themeColor="accent5" w:sz="4" w:space="0"/>
              <w:tl2br w:val="nil"/>
              <w:tr2bl w:val="nil"/>
            </w:tcBorders>
            <w:shd w:val="clear" w:color="auto" w:fill="D0E6FF"/>
            <w:vAlign w:val="center"/>
          </w:tcPr>
          <w:p w14:paraId="74C9E03B">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教学设计</w:t>
            </w:r>
          </w:p>
        </w:tc>
        <w:tc>
          <w:tcPr>
            <w:tcW w:w="7173" w:type="dxa"/>
            <w:gridSpan w:val="2"/>
            <w:tcBorders>
              <w:bottom w:val="double" w:color="4472C4" w:themeColor="accent5" w:sz="4" w:space="0"/>
              <w:tl2br w:val="nil"/>
              <w:tr2bl w:val="nil"/>
            </w:tcBorders>
            <w:vAlign w:val="center"/>
          </w:tcPr>
          <w:p w14:paraId="6AFD681C">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1</w:t>
            </w:r>
            <w:r>
              <w:rPr>
                <w:rFonts w:hint="eastAsia" w:ascii="Times New Roman" w:hAnsi="宋体"/>
                <w:kern w:val="0"/>
                <w:szCs w:val="20"/>
              </w:rPr>
              <w:t>节课：</w:t>
            </w:r>
            <w:r>
              <w:rPr>
                <w:rFonts w:hint="eastAsia" w:ascii="Times New Roman" w:hAnsi="宋体"/>
                <w:szCs w:val="20"/>
                <w:lang w:eastAsia="zh-CN"/>
              </w:rPr>
              <w:t>考勤</w:t>
            </w:r>
            <w:r>
              <w:rPr>
                <w:rFonts w:hint="eastAsia" w:ascii="Times New Roman" w:hAnsi="宋体"/>
                <w:szCs w:val="20"/>
              </w:rPr>
              <w:t>（</w:t>
            </w:r>
            <w:r>
              <w:rPr>
                <w:rFonts w:hint="eastAsia" w:ascii="Times New Roman" w:hAnsi="宋体"/>
                <w:szCs w:val="20"/>
                <w:lang w:val="en-US" w:eastAsia="zh-CN"/>
              </w:rPr>
              <w:t>2</w:t>
            </w:r>
            <w:r>
              <w:rPr>
                <w:rFonts w:hint="eastAsia" w:ascii="Times New Roman" w:hAnsi="宋体"/>
                <w:szCs w:val="20"/>
              </w:rPr>
              <w:t>min）--</w:t>
            </w:r>
            <w:r>
              <w:rPr>
                <w:rFonts w:hint="eastAsia" w:ascii="Times New Roman" w:hAnsi="宋体"/>
                <w:szCs w:val="20"/>
                <w:lang w:eastAsia="zh-CN"/>
              </w:rPr>
              <w:t>知识讲解</w:t>
            </w:r>
            <w:r>
              <w:rPr>
                <w:rFonts w:hint="eastAsia" w:ascii="Times New Roman" w:hAnsi="宋体"/>
                <w:szCs w:val="20"/>
              </w:rPr>
              <w:t>（</w:t>
            </w:r>
            <w:r>
              <w:rPr>
                <w:rFonts w:hint="default" w:ascii="Times New Roman" w:hAnsi="宋体"/>
                <w:szCs w:val="20"/>
              </w:rPr>
              <w:t>40</w:t>
            </w:r>
            <w:r>
              <w:rPr>
                <w:rFonts w:hint="eastAsia" w:ascii="Times New Roman" w:hAnsi="宋体"/>
                <w:szCs w:val="20"/>
              </w:rPr>
              <w:t>min）</w:t>
            </w:r>
            <w:r>
              <w:rPr>
                <w:rFonts w:hint="eastAsia" w:ascii="Times New Roman" w:hAnsi="宋体"/>
                <w:szCs w:val="20"/>
                <w:lang w:val="en-US" w:eastAsia="zh-CN"/>
              </w:rPr>
              <w:t>--作业布置（3min）</w:t>
            </w:r>
          </w:p>
          <w:p w14:paraId="7412E15F">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2</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val="en-US" w:eastAsia="zh-CN"/>
              </w:rPr>
              <w:t>--作业布置（2min）</w:t>
            </w:r>
          </w:p>
          <w:p w14:paraId="1B023765">
            <w:pPr>
              <w:keepNext w:val="0"/>
              <w:keepLines w:val="0"/>
              <w:suppressLineNumbers w:val="0"/>
              <w:spacing w:before="0" w:beforeAutospacing="0" w:after="0" w:afterAutospacing="0" w:line="360" w:lineRule="auto"/>
              <w:ind w:left="0" w:right="0" w:hanging="8"/>
              <w:rPr>
                <w:rFonts w:hint="eastAsia" w:ascii="Times New Roman" w:hAnsi="宋体"/>
                <w:szCs w:val="20"/>
              </w:rPr>
            </w:pPr>
            <w:r>
              <w:rPr>
                <w:rFonts w:hint="eastAsia" w:ascii="Times New Roman" w:hAnsi="宋体"/>
                <w:kern w:val="0"/>
                <w:szCs w:val="20"/>
              </w:rPr>
              <w:t>第</w:t>
            </w:r>
            <w:r>
              <w:rPr>
                <w:rFonts w:hint="default" w:ascii="Times New Roman" w:hAnsi="宋体"/>
                <w:kern w:val="0"/>
                <w:szCs w:val="20"/>
              </w:rPr>
              <w:t>3</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eastAsia="zh-CN"/>
              </w:rPr>
              <w:t>作业布置</w:t>
            </w:r>
            <w:r>
              <w:rPr>
                <w:rFonts w:hint="eastAsia" w:ascii="Times New Roman" w:hAnsi="宋体"/>
                <w:szCs w:val="20"/>
              </w:rPr>
              <w:t>（2min）</w:t>
            </w:r>
          </w:p>
          <w:p w14:paraId="6F96EC4A">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4</w:t>
            </w:r>
            <w:r>
              <w:rPr>
                <w:rFonts w:hint="default" w:ascii="Times New Roman" w:hAnsi="宋体"/>
                <w:szCs w:val="20"/>
              </w:rPr>
              <w:t>节课：知识讲解（40min）--课堂小结（3min）--作业布置（2min）</w:t>
            </w:r>
          </w:p>
        </w:tc>
      </w:tr>
      <w:tr w14:paraId="376F3D1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bottom w:val="double" w:color="4472C4" w:themeColor="accent5" w:sz="4" w:space="0"/>
            </w:tcBorders>
            <w:shd w:val="clear" w:color="auto" w:fill="D0E6FF"/>
            <w:vAlign w:val="center"/>
          </w:tcPr>
          <w:p w14:paraId="648EFFA4">
            <w:pPr>
              <w:keepNext w:val="0"/>
              <w:keepLines w:val="0"/>
              <w:suppressLineNumbers w:val="0"/>
              <w:spacing w:before="0" w:beforeAutospacing="0" w:after="0" w:afterAutospacing="0" w:line="264" w:lineRule="auto"/>
              <w:ind w:left="0" w:right="0" w:hanging="8"/>
              <w:jc w:val="center"/>
              <w:rPr>
                <w:rFonts w:hint="default" w:ascii="Times New Roman" w:hAnsi="Times New Roman"/>
                <w:b/>
                <w:bCs w:val="0"/>
                <w:color w:val="C00000"/>
                <w:szCs w:val="24"/>
              </w:rPr>
            </w:pPr>
            <w:bookmarkStart w:id="0" w:name="_GoBack" w:colFirst="0" w:colLast="2"/>
            <w:r>
              <w:rPr>
                <w:rFonts w:hint="eastAsia" w:ascii="Times New Roman" w:hAnsi="Times New Roman"/>
                <w:b/>
                <w:bCs w:val="0"/>
                <w:color w:val="C00000"/>
                <w:szCs w:val="24"/>
              </w:rPr>
              <w:t>教学过程</w:t>
            </w:r>
          </w:p>
        </w:tc>
        <w:tc>
          <w:tcPr>
            <w:tcW w:w="5807" w:type="dxa"/>
            <w:tcBorders>
              <w:top w:val="double" w:color="4472C4" w:themeColor="accent5" w:sz="4" w:space="0"/>
              <w:bottom w:val="double" w:color="4472C4" w:themeColor="accent5" w:sz="4" w:space="0"/>
            </w:tcBorders>
            <w:shd w:val="clear" w:color="auto" w:fill="D0E6FF"/>
            <w:vAlign w:val="center"/>
          </w:tcPr>
          <w:p w14:paraId="749BF8F1">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eastAsia" w:ascii="Times New Roman" w:hAnsi="Times New Roman"/>
                <w:b/>
                <w:bCs w:val="0"/>
                <w:color w:val="C00000"/>
                <w:szCs w:val="24"/>
              </w:rPr>
              <w:t>主要教学内容及步骤</w:t>
            </w:r>
          </w:p>
        </w:tc>
        <w:tc>
          <w:tcPr>
            <w:tcW w:w="1366" w:type="dxa"/>
            <w:tcBorders>
              <w:top w:val="double" w:color="4472C4" w:themeColor="accent5" w:sz="4" w:space="0"/>
              <w:bottom w:val="double" w:color="4472C4" w:themeColor="accent5" w:sz="4" w:space="0"/>
            </w:tcBorders>
            <w:shd w:val="clear" w:color="auto" w:fill="D0E6FF"/>
            <w:vAlign w:val="center"/>
          </w:tcPr>
          <w:p w14:paraId="456CD97C">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bookmarkEnd w:id="0"/>
      <w:tr w14:paraId="5D44C78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tl2br w:val="nil"/>
              <w:tr2bl w:val="nil"/>
            </w:tcBorders>
            <w:shd w:val="clear" w:color="auto" w:fill="D0E6FF"/>
            <w:vAlign w:val="center"/>
          </w:tcPr>
          <w:p w14:paraId="437A191F">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考勤</w:t>
            </w:r>
          </w:p>
          <w:p w14:paraId="43C418EF">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w:t>
            </w:r>
            <w:r>
              <w:rPr>
                <w:rFonts w:hint="eastAsia" w:ascii="Times New Roman" w:hAnsi="Times New Roman"/>
                <w:b/>
                <w:szCs w:val="24"/>
                <w:lang w:val="en-US" w:eastAsia="zh-CN"/>
              </w:rPr>
              <w:t>2min</w:t>
            </w:r>
            <w:r>
              <w:rPr>
                <w:rFonts w:hint="eastAsia" w:ascii="Times New Roman" w:hAnsi="Times New Roman"/>
                <w:b/>
                <w:szCs w:val="24"/>
                <w:lang w:eastAsia="zh-CN"/>
              </w:rPr>
              <w:t>）</w:t>
            </w:r>
          </w:p>
        </w:tc>
        <w:tc>
          <w:tcPr>
            <w:tcW w:w="5807" w:type="dxa"/>
            <w:tcBorders>
              <w:top w:val="double" w:color="4472C4" w:themeColor="accent5" w:sz="4" w:space="0"/>
              <w:tl2br w:val="nil"/>
              <w:tr2bl w:val="nil"/>
            </w:tcBorders>
            <w:vAlign w:val="center"/>
          </w:tcPr>
          <w:p w14:paraId="669006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14:paraId="127942A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366" w:type="dxa"/>
            <w:tcBorders>
              <w:top w:val="double" w:color="4472C4" w:themeColor="accent5" w:sz="4" w:space="0"/>
              <w:tl2br w:val="nil"/>
              <w:tr2bl w:val="nil"/>
            </w:tcBorders>
            <w:vAlign w:val="center"/>
          </w:tcPr>
          <w:p w14:paraId="5F2F266F">
            <w:pPr>
              <w:keepNext w:val="0"/>
              <w:keepLines w:val="0"/>
              <w:suppressLineNumbers w:val="0"/>
              <w:spacing w:before="0" w:beforeAutospacing="0" w:after="0" w:afterAutospacing="0" w:line="360" w:lineRule="auto"/>
              <w:ind w:left="0" w:right="0"/>
              <w:jc w:val="center"/>
              <w:rPr>
                <w:rFonts w:hint="default" w:ascii="Times New Roman" w:hAnsi="Times New Roman"/>
                <w:szCs w:val="20"/>
              </w:rPr>
            </w:pPr>
            <w:r>
              <w:rPr>
                <w:rFonts w:hint="eastAsia" w:ascii="Times New Roman" w:hAnsi="Times New Roman"/>
                <w:szCs w:val="20"/>
              </w:rPr>
              <w:t>培养学生的组织纪律性,掌握学生的出勤情况</w:t>
            </w:r>
          </w:p>
        </w:tc>
      </w:tr>
      <w:tr w14:paraId="718B2E0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3D09A778">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01BFD8E1">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w:t>
            </w:r>
            <w:r>
              <w:rPr>
                <w:rFonts w:hint="eastAsia" w:ascii="Times New Roman" w:hAnsi="Times New Roman"/>
                <w:szCs w:val="24"/>
                <w:lang w:val="en-US" w:eastAsia="zh-CN"/>
              </w:rPr>
              <w:t>40</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7C11BC7E">
            <w:pPr>
              <w:keepNext w:val="0"/>
              <w:keepLines w:val="0"/>
              <w:widowControl/>
              <w:suppressLineNumbers w:val="0"/>
              <w:spacing w:before="0" w:beforeAutospacing="0" w:after="0" w:afterAutospacing="0" w:line="360" w:lineRule="auto"/>
              <w:ind w:left="0" w:right="0"/>
              <w:jc w:val="left"/>
              <w:rPr>
                <w:rFonts w:hint="eastAsia" w:ascii="Times New Roman" w:hAnsi="Times New Roman"/>
                <w:b w:val="0"/>
                <w:bCs/>
                <w:color w:val="C00000"/>
                <w:lang w:val="en-US" w:eastAsia="zh-CN"/>
              </w:rPr>
            </w:pPr>
            <w:r>
              <w:rPr>
                <w:rFonts w:hint="eastAsia" w:ascii="Times New Roman" w:hAnsi="Times New Roman"/>
                <w:b/>
                <w:color w:val="C00000"/>
              </w:rPr>
              <w:t>【教师】</w:t>
            </w:r>
            <w:r>
              <w:rPr>
                <w:rFonts w:hint="eastAsia" w:ascii="宋体" w:hAnsi="宋体" w:eastAsia="宋体" w:cs="宋体"/>
                <w:b w:val="0"/>
                <w:bCs/>
                <w:color w:val="C00000"/>
                <w:kern w:val="2"/>
                <w:sz w:val="21"/>
                <w:szCs w:val="21"/>
                <w:lang w:val="en-US" w:eastAsia="zh-CN" w:bidi="ar"/>
              </w:rPr>
              <w:t>展示重症监护病房（ICU）的组织与管理</w:t>
            </w:r>
          </w:p>
          <w:p w14:paraId="5F9701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一、概念</w:t>
            </w:r>
          </w:p>
          <w:p w14:paraId="167ED3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重症监护病房（Intensive Care Unit，ICU）意为加强监护病房或加强医疗科，我国规范其名称为重症监护治疗病房。它是医护人员应用现代医学理论和现代化医疗设备，以及复杂的临床监测技术，将人力、物力集中一处，进行集中监测和强化治疗的一种特殊组织形式。它是现代科学技术在医疗中的体现，是各种先进技术在治疗中的交汇。</w:t>
            </w:r>
          </w:p>
          <w:p w14:paraId="3CA6C4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二、ICU 的设置</w:t>
            </w:r>
          </w:p>
          <w:p w14:paraId="610B80E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ICU 的大小根据医院的功能、规模、疾病种类、技术力量和设备条件而定。一般 ICU 的病床数以该服务病床数或医院的病床总数的 2%～8% 为宜，床位使用率以 75% 为宜，至少保留有 1 张空床以备应急使用。全年床位使用率平均超过 85% 时，应该适度扩大规模。</w:t>
            </w:r>
          </w:p>
          <w:p w14:paraId="127E38D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 基本医疗设置</w:t>
            </w:r>
          </w:p>
          <w:p w14:paraId="5B9C756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ICU 应设有多功能医疗柱、通风系统、中心监护仪、床边监护仪、呼吸机、心电图机、除颤仪、输液泵、微量注射泵、起搏器、气管插管及切开急救器材、血滤机、支气管镜以及电子计算机等。有条件的应配备血气分析仪、床边 X 线机及主动脉内气囊反搏器等设备。</w:t>
            </w:r>
          </w:p>
          <w:p w14:paraId="296BE27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 病床单位</w:t>
            </w:r>
          </w:p>
          <w:p w14:paraId="6F1E150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病房每床的占地面积为 15～18 m2，床间距大于 1.5 m；每个病房最少配备一个单间病房，面积为 18～25 m2。床单位常规设置有床边监护仪、呼吸机、简易呼吸囊、听诊器、吊顶输液轨道、微量泵、输液泵、医院中心控制的供氧管道、真空负压及压缩空气等装置、除颤机、多功能电源插销及地灯。</w:t>
            </w:r>
          </w:p>
          <w:p w14:paraId="7CE58E7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3. 人员配备</w:t>
            </w:r>
          </w:p>
          <w:p w14:paraId="60F1998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医师人数与床位数之比为（0.8～1）∶1 以上，护士人数与床位数之比为（2.5～3）∶1 以上。可以根据需要配备适当数量的医疗辅助人员，有条件的医院可配备相关的设备技术与维修人员。</w:t>
            </w:r>
          </w:p>
          <w:p w14:paraId="5BAFDA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4. 病室环境要求</w:t>
            </w:r>
          </w:p>
          <w:p w14:paraId="59E3554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（1）ICU 病区要有医生办公室、护士站、治疗室、仪器室、洗刷间、污物间及库房等。中心护士站应设在所有病床的中央区。</w:t>
            </w:r>
          </w:p>
          <w:p w14:paraId="5BE7B3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（2）ICU 每张床的占地面积应比普通病室的要大，相邻床位可根据需要使用玻璃间隔，以便于临床观察和操作。</w:t>
            </w:r>
          </w:p>
          <w:p w14:paraId="6627905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（3）设置单独的隔离病房。遇有严重感染、传染及免疫功能低下等患者应及时与其他患者隔离，病房要有通风设备（上进风下回风）。</w:t>
            </w:r>
          </w:p>
          <w:p w14:paraId="5786DAD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（4）每个房间应配有流动水洗手设备。</w:t>
            </w:r>
          </w:p>
          <w:p w14:paraId="0DF9F94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（5）每张病床旁应设有多功能电源插头。</w:t>
            </w:r>
          </w:p>
          <w:p w14:paraId="6C2B78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（6）ICU 内的照明应以患者及医护人员适宜的强度而定。夜间使用较暗的壁灯，床位上方的吊灯应尽量减少，以免患者感到刺眼。急救时要有足够的亮度。</w:t>
            </w:r>
          </w:p>
          <w:p w14:paraId="5268E49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（7）各病床前应有醒目的时钟，以满足患者对时间概念的需求，同时便于医护人员工作。</w:t>
            </w:r>
          </w:p>
          <w:p w14:paraId="628D77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（8）每张病床旁应有紧急呼叫系统，以备紧急情况下使用。</w:t>
            </w:r>
          </w:p>
          <w:p w14:paraId="262366B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（9）病室内所有物品尤其是急救物品放置位置要固定，每日应有专人检查。</w:t>
            </w:r>
          </w:p>
          <w:p w14:paraId="0CAACC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三、ICU 的管理</w:t>
            </w:r>
          </w:p>
          <w:p w14:paraId="3033AF5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（1）建立健全各项规章制度、岗位职责和相关技术规范、操作规程，并严格遵守执行，保证医疗服务质量。</w:t>
            </w:r>
          </w:p>
          <w:p w14:paraId="0CA810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加强质量控制和管理，指定专（兼）职人员负责医疗质量和安全管理。质量管理的指标包括：收入数、手术例数、抢救例数、平均住院天数、床位使用率、院内感染发生率、误拔管率、疾病严重程度评价、护理质量合格率及压疮发生率等。</w:t>
            </w:r>
          </w:p>
          <w:p w14:paraId="53D42F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（3）医院应加强对 ICU 的医疗质量管理与评价，医疗、护理等管理部门应履行日常监管职能。</w:t>
            </w:r>
          </w:p>
          <w:p w14:paraId="1DB2421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（4）为患者提供满意的服务。质量管理应体现服务第一、预防为主的思想。患者的医疗护理安全是提高护理质量的基本保证。</w:t>
            </w:r>
          </w:p>
          <w:p w14:paraId="3CC463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四、ICU 的感染控制</w:t>
            </w:r>
          </w:p>
          <w:p w14:paraId="36ADD0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（1）ICU 要加强医院感染管理，严格执行手卫生规范及对特殊感染患者的隔离。对呼吸机相关性肺炎、血管内导管所致血行感染、留置导尿管所致感染实行监控。医护人员在做各种操作前后要注意用流动水洗手。做好病房空气、各种管路的细菌学监测。</w:t>
            </w:r>
          </w:p>
          <w:p w14:paraId="5220FFD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整体布局应该使放置病床的医疗区域、医疗辅助用房区域、污物处理区域和医务人员生活辅助用房区域等有相对的独立性，以减少彼此之间的干扰和控制医院感染。限制人员出入，执行家属探视制度，探视时家属更换隔离衣及鞋，戴帽子、口罩。要有合理的包括人员流动和物流在内的医疗流向，有条件的医院可以设置不同的进出通道。</w:t>
            </w:r>
          </w:p>
          <w:p w14:paraId="2E6EA0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（3）病房应具备良好的通风、采光条件。医疗区域内的温度应维持在（24±1.5）℃左右。具备足够的感应式洗手设施和手部消毒装置，单间每床 1套，开放式病床至少每 2 床 1 套。有条件的医院可设置负压床单元。遇有严重感染、传染、移植术后、免疫功能低下等患者应住隔离房间。需隔离的患者应有专人护理，用物与其他患者要分开。</w:t>
            </w:r>
          </w:p>
          <w:p w14:paraId="37238D6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（4）建筑应该满足提供医护人员便利的观察条件和在必要时尽快接触患者的通道。装饰必须遵循不产尘、不积尘、耐腐蚀、防潮防霉、防静电、容易清洁和符合防火要求的总原则。</w:t>
            </w:r>
          </w:p>
          <w:p w14:paraId="7F0760B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（5）隔离患者转出或出院后要做到终末消毒，包括仪器、床单位及物品的消毒及处理。</w:t>
            </w:r>
          </w:p>
          <w:p w14:paraId="11DDF5F1">
            <w:pPr>
              <w:keepNext w:val="0"/>
              <w:keepLines w:val="0"/>
              <w:widowControl w:val="0"/>
              <w:suppressLineNumbers w:val="0"/>
              <w:autoSpaceDE w:val="0"/>
              <w:autoSpaceDN/>
              <w:spacing w:before="0" w:beforeAutospacing="0" w:after="0" w:afterAutospacing="0" w:line="360" w:lineRule="auto"/>
              <w:ind w:left="0" w:right="0"/>
              <w:jc w:val="left"/>
              <w:rPr>
                <w:rFonts w:hint="default" w:ascii="Times New Roman" w:hAnsi="Times New Roman"/>
                <w:b/>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40B63201">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val="en-US" w:eastAsia="zh-CN"/>
              </w:rPr>
              <w:t>展示重症监护病房（ICU）的组织与管理</w:t>
            </w:r>
            <w:r>
              <w:rPr>
                <w:rFonts w:hint="eastAsia" w:ascii="Times New Roman" w:hAnsi="Times New Roman"/>
                <w:b/>
                <w:szCs w:val="24"/>
              </w:rPr>
              <w:t>，</w:t>
            </w:r>
            <w:r>
              <w:rPr>
                <w:rFonts w:hint="eastAsia" w:ascii="Times New Roman" w:hAnsi="Times New Roman"/>
                <w:b/>
                <w:szCs w:val="24"/>
                <w:lang w:eastAsia="zh-CN"/>
              </w:rPr>
              <w:t>让学生更加仔细的阅读，从而</w:t>
            </w:r>
            <w:r>
              <w:rPr>
                <w:rFonts w:hint="eastAsia" w:ascii="Times New Roman" w:hAnsi="Times New Roman"/>
                <w:b/>
                <w:szCs w:val="24"/>
              </w:rPr>
              <w:t>激发学生的学习欲望。</w:t>
            </w:r>
          </w:p>
        </w:tc>
      </w:tr>
      <w:tr w14:paraId="3955AA5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49A3FB08">
            <w:pPr>
              <w:keepNext w:val="0"/>
              <w:keepLines w:val="0"/>
              <w:suppressLineNumbers w:val="0"/>
              <w:spacing w:before="0" w:beforeAutospacing="0" w:after="0" w:afterAutospacing="0" w:line="264" w:lineRule="auto"/>
              <w:ind w:left="0" w:right="0" w:hanging="8"/>
              <w:jc w:val="center"/>
              <w:rPr>
                <w:rFonts w:hint="default" w:ascii="Times New Roman" w:hAnsi="Times New Roman"/>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Cs w:val="24"/>
              </w:rPr>
              <w:t>（</w:t>
            </w:r>
            <w:r>
              <w:rPr>
                <w:rFonts w:hint="eastAsia" w:ascii="Times New Roman" w:hAnsi="Times New Roman"/>
                <w:b w:val="0"/>
                <w:bCs w:val="0"/>
                <w:szCs w:val="24"/>
                <w:lang w:val="en-US" w:eastAsia="zh-CN"/>
              </w:rPr>
              <w:t>3</w:t>
            </w:r>
            <w:r>
              <w:rPr>
                <w:rFonts w:hint="eastAsia" w:ascii="Times New Roman" w:hAnsi="Times New Roman"/>
                <w:b w:val="0"/>
                <w:bCs w:val="0"/>
                <w:szCs w:val="24"/>
              </w:rPr>
              <w:t>min）</w:t>
            </w:r>
          </w:p>
        </w:tc>
        <w:tc>
          <w:tcPr>
            <w:tcW w:w="5807" w:type="dxa"/>
            <w:tcBorders>
              <w:tl2br w:val="nil"/>
              <w:tr2bl w:val="nil"/>
            </w:tcBorders>
            <w:vAlign w:val="center"/>
          </w:tcPr>
          <w:p w14:paraId="2379673F">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049162CD">
            <w:pPr>
              <w:keepNext w:val="0"/>
              <w:keepLines w:val="0"/>
              <w:suppressLineNumbers w:val="0"/>
              <w:spacing w:before="0" w:beforeAutospacing="0" w:after="0" w:afterAutospacing="0" w:line="360" w:lineRule="auto"/>
              <w:ind w:left="0" w:right="0" w:firstLine="420" w:firstLineChars="200"/>
              <w:rPr>
                <w:rFonts w:hint="eastAsia" w:hAnsi="宋体" w:eastAsia="宋体"/>
                <w:bCs/>
                <w:lang w:eastAsia="zh-CN"/>
              </w:rPr>
            </w:pPr>
            <w:r>
              <w:rPr>
                <w:rFonts w:hint="eastAsia" w:hAnsi="宋体"/>
                <w:bCs/>
                <w:lang w:val="en-US" w:eastAsia="zh-CN"/>
              </w:rPr>
              <w:t>简述</w:t>
            </w:r>
            <w:r>
              <w:rPr>
                <w:rFonts w:hint="eastAsia" w:hAnsi="宋体"/>
                <w:bCs/>
                <w:lang w:eastAsia="zh-CN"/>
              </w:rPr>
              <w:t>ICU 的感染控制。</w:t>
            </w:r>
          </w:p>
        </w:tc>
        <w:tc>
          <w:tcPr>
            <w:tcW w:w="1366" w:type="dxa"/>
            <w:tcBorders>
              <w:tl2br w:val="nil"/>
              <w:tr2bl w:val="nil"/>
            </w:tcBorders>
            <w:vAlign w:val="center"/>
          </w:tcPr>
          <w:p w14:paraId="309AAF26">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4A8B89A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15167E70">
            <w:pPr>
              <w:keepNext w:val="0"/>
              <w:keepLines w:val="0"/>
              <w:suppressLineNumbers w:val="0"/>
              <w:spacing w:before="0" w:beforeAutospacing="0" w:after="0" w:afterAutospacing="0" w:line="264"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283DA9EE">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5D541196">
            <w:pPr>
              <w:keepNext w:val="0"/>
              <w:keepLines w:val="0"/>
              <w:widowControl w:val="0"/>
              <w:suppressLineNumbers w:val="0"/>
              <w:spacing w:before="0" w:beforeAutospacing="0" w:after="0" w:afterAutospacing="0" w:line="360" w:lineRule="auto"/>
              <w:ind w:left="0" w:right="0"/>
              <w:jc w:val="both"/>
              <w:rPr>
                <w:rFonts w:hint="default" w:ascii="宋体" w:hAnsi="宋体" w:cs="宋体"/>
                <w:b/>
                <w:bCs w:val="0"/>
                <w:color w:val="0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展示ICU 的收治程序、对象及治疗原则</w:t>
            </w:r>
          </w:p>
          <w:p w14:paraId="75A7130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一、ICU 的收治程序</w:t>
            </w:r>
          </w:p>
          <w:p w14:paraId="622259D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（1）ICU 的患者通常从手术室、急诊室、其他科室或从</w:t>
            </w:r>
          </w:p>
          <w:p w14:paraId="15C15E7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外院会诊转入。一旦决定患者转入 ICU，应立即通知病房的</w:t>
            </w:r>
          </w:p>
          <w:p w14:paraId="5ECD3A3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值班医师或护士，并扼要说明病情，以便做好相应的抢救准</w:t>
            </w:r>
          </w:p>
          <w:p w14:paraId="69E3009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备工作。</w:t>
            </w:r>
          </w:p>
          <w:p w14:paraId="4D57AEE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（2）床单位的准备：包括准备麻醉床、输液架、吸痰用物（吸痰管、手</w:t>
            </w:r>
          </w:p>
          <w:p w14:paraId="17E5648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套、无菌盐水、负压吸引器等）、电极片、别针及约束带，确认监测仪、呼吸</w:t>
            </w:r>
          </w:p>
          <w:p w14:paraId="5943EB1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机及输液泵等处于良好运行状态等。</w:t>
            </w:r>
          </w:p>
          <w:p w14:paraId="0F4A9B5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（3）患者的交接：患者被送至 ICU 后，护送人员应向医师、护士说明病</w:t>
            </w:r>
          </w:p>
          <w:p w14:paraId="5DAABC6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情，包括心血管、呼吸、肝、肾、神经系统等的功能状态及简要的体格检查、</w:t>
            </w:r>
          </w:p>
          <w:p w14:paraId="001F880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阳性体征等。特殊处理和用药须另加说明，并交清患者的用物。</w:t>
            </w:r>
          </w:p>
          <w:p w14:paraId="39A5F96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（4）护理评估：患者进入 ICU 后，护士应对患者从以下方面进行基本的</w:t>
            </w:r>
          </w:p>
          <w:p w14:paraId="7E9BB31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护理评估。</w:t>
            </w:r>
          </w:p>
          <w:p w14:paraId="38A70B5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①意识状态、瞳孔大小、对光反射、肢体运动及感觉。</w:t>
            </w:r>
          </w:p>
          <w:p w14:paraId="5EBC764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②生命体征，心电图，周围循环，皮肤颜色、温度、湿度及完整性。</w:t>
            </w:r>
          </w:p>
          <w:p w14:paraId="64E0B765">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③呼吸状态、呼吸频率、血气分析。</w:t>
            </w:r>
          </w:p>
          <w:p w14:paraId="255BB71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④血糖、电解质的最后一次检查结果，现有静脉通路及输入液体种类、</w:t>
            </w:r>
          </w:p>
          <w:p w14:paraId="15E856F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滴入速度、治疗药物及药物过敏史等。</w:t>
            </w:r>
          </w:p>
          <w:p w14:paraId="33039D95">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⑤各种引流管（尿管、胃管、T 管、腹腔引流管、胸腔闭式引流管等）是</w:t>
            </w:r>
          </w:p>
          <w:p w14:paraId="12AD84D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否通畅，记录引流量及颜色，注意单位时间内的量的变化。</w:t>
            </w:r>
          </w:p>
          <w:p w14:paraId="10BE9C6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⑥了解专科护理要求。</w:t>
            </w:r>
          </w:p>
          <w:p w14:paraId="7FC9CD5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⑦如患者清醒，可询问患者的饮食结构、生活习惯及心理需求，以便对</w:t>
            </w:r>
          </w:p>
          <w:p w14:paraId="4F4001B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患者实施整体护理。</w:t>
            </w:r>
          </w:p>
          <w:p w14:paraId="7DC5DE8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（5）医嘱的执行：一般情况下应避免口头医嘱，以免发生差错，但对于特</w:t>
            </w:r>
          </w:p>
          <w:p w14:paraId="34436DF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别危重患者，先口头下医嘱，护士给予重复，并立即执行，事后补开医嘱。</w:t>
            </w:r>
          </w:p>
          <w:p w14:paraId="2AEF552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（6）建立 ICU 的护理记录单。</w:t>
            </w:r>
          </w:p>
          <w:p w14:paraId="532F39D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（7）做好患者及家属的心理护理、卫生及健康教育指导。</w:t>
            </w:r>
          </w:p>
          <w:p w14:paraId="3902BF2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二、ICU 的收治对象</w:t>
            </w:r>
          </w:p>
          <w:p w14:paraId="40D1455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ICU 的收治对象包括临床各科的危重患者。危重患者指病情危重，处于</w:t>
            </w:r>
          </w:p>
          <w:p w14:paraId="3FDF023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生死关头，甚至有猝死危险的患者。危重患者大多由于急性病变或慢性病急</w:t>
            </w:r>
          </w:p>
          <w:p w14:paraId="7D4A0A1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性变化造成。具体有以下几种情况。</w:t>
            </w:r>
          </w:p>
          <w:p w14:paraId="647AFE2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（1）急需心肺脑复苏及复苏后。</w:t>
            </w:r>
          </w:p>
          <w:p w14:paraId="78AD049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（2）多发伤、复合伤和大手术后需监测救治的患者。</w:t>
            </w:r>
          </w:p>
          <w:p w14:paraId="44FB1FC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（3）创伤、休克、感染等引起多脏器衰竭的患者。</w:t>
            </w:r>
          </w:p>
          <w:p w14:paraId="0ECD8C5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（4）急性心肌梗死、严重心律失常、急性心力衰竭、不稳定性心绞痛。</w:t>
            </w:r>
          </w:p>
          <w:p w14:paraId="45049F8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（5）各类大出血、突然昏迷、抽搐、呼吸衰竭的患者。</w:t>
            </w:r>
          </w:p>
          <w:p w14:paraId="23869EA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（6）严重水、电解质、渗透压和酸碱失衡的患者。</w:t>
            </w:r>
          </w:p>
          <w:p w14:paraId="7ECF7DE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（7）甲状腺、肾上腺、胰岛和垂体等内分泌危象。</w:t>
            </w:r>
          </w:p>
          <w:p w14:paraId="59ECBD0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（8）急性物理、化学因素致伤性危急病症，如中毒、溺水、触电及中</w:t>
            </w:r>
          </w:p>
          <w:p w14:paraId="7B632F5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暑等。</w:t>
            </w:r>
          </w:p>
          <w:p w14:paraId="6059BEC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三、ICU 的治疗原则</w:t>
            </w:r>
          </w:p>
          <w:p w14:paraId="77FBF13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病因治疗及防治感染</w:t>
            </w:r>
          </w:p>
          <w:p w14:paraId="6A9F78E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查明原因及诱因并及时处理；选用敏感的抗生素。</w:t>
            </w:r>
          </w:p>
          <w:p w14:paraId="3A7A87E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改善呼吸功能</w:t>
            </w:r>
          </w:p>
          <w:p w14:paraId="14A53A5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保持呼吸道通畅，给氧。</w:t>
            </w:r>
          </w:p>
          <w:p w14:paraId="1552CD2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纠正酸碱失衡和电解质紊乱</w:t>
            </w:r>
          </w:p>
          <w:p w14:paraId="6978098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静脉输液补充热量、水及电解质。</w:t>
            </w:r>
          </w:p>
          <w:p w14:paraId="5010067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维持心、脑、肺、肾功能</w:t>
            </w:r>
          </w:p>
          <w:p w14:paraId="663E991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给予呼吸兴奋剂、强心剂及血管活性药物、脱水剂、利尿剂、肾上腺糖</w:t>
            </w:r>
          </w:p>
          <w:p w14:paraId="70ABCC7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皮质激素及人工辅助呼吸。</w:t>
            </w:r>
          </w:p>
          <w:p w14:paraId="4130A384">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32768674">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w:t>
            </w:r>
            <w:r>
              <w:rPr>
                <w:rFonts w:hint="eastAsia" w:ascii="Times New Roman" w:hAnsi="Times New Roman"/>
                <w:b/>
                <w:szCs w:val="24"/>
                <w:lang w:val="en-US" w:eastAsia="zh-CN"/>
              </w:rPr>
              <w:t>ICU 的收治程序、对象及治疗原则的基本理论知</w:t>
            </w:r>
            <w:r>
              <w:rPr>
                <w:rFonts w:hint="eastAsia" w:ascii="Times New Roman" w:hAnsi="Times New Roman"/>
                <w:b/>
                <w:szCs w:val="24"/>
              </w:rPr>
              <w:t>识。</w:t>
            </w:r>
          </w:p>
        </w:tc>
      </w:tr>
      <w:tr w14:paraId="79BF900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0A66C9A7">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0792141D">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70F48D31">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6819A295">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宋体" w:hAnsi="宋体" w:eastAsia="宋体" w:cs="宋体"/>
                <w:b/>
                <w:bCs w:val="0"/>
                <w:kern w:val="2"/>
                <w:sz w:val="21"/>
                <w:szCs w:val="21"/>
                <w:lang w:val="en-US" w:eastAsia="zh-CN" w:bidi="ar"/>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cs="宋体"/>
                <w:b/>
                <w:bCs w:val="0"/>
                <w:kern w:val="0"/>
                <w:sz w:val="21"/>
                <w:szCs w:val="21"/>
                <w:lang w:val="en-US" w:eastAsia="zh-CN" w:bidi="ar"/>
              </w:rPr>
              <w:t>ICU 的收治程序、对象及治疗原则，让学生知道教学简笔画是一种运用形象直观教学法进行的形象化教学</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719004DF">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30A0426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6E7147C5">
            <w:pPr>
              <w:keepNext w:val="0"/>
              <w:keepLines w:val="0"/>
              <w:widowControl w:val="0"/>
              <w:suppressLineNumbers w:val="0"/>
              <w:spacing w:before="0" w:beforeAutospacing="0" w:after="0" w:afterAutospacing="0" w:line="264"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36F98878">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4B8A5415">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简述ICU 的治疗原则。</w:t>
            </w:r>
          </w:p>
        </w:tc>
        <w:tc>
          <w:tcPr>
            <w:tcW w:w="1366" w:type="dxa"/>
            <w:tcBorders>
              <w:tl2br w:val="nil"/>
              <w:tr2bl w:val="nil"/>
            </w:tcBorders>
            <w:vAlign w:val="center"/>
          </w:tcPr>
          <w:p w14:paraId="3BBC2F8B">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348887D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021482FA">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415295D2">
            <w:pPr>
              <w:keepNext w:val="0"/>
              <w:keepLines w:val="0"/>
              <w:widowControl/>
              <w:suppressLineNumbers w:val="0"/>
              <w:spacing w:before="0" w:beforeAutospacing="0" w:after="0" w:afterAutospacing="0" w:line="360" w:lineRule="auto"/>
              <w:ind w:left="0" w:right="0"/>
              <w:jc w:val="left"/>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展示监护内容及监护分级</w:t>
            </w:r>
          </w:p>
          <w:p w14:paraId="6EBC07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一、监护内容</w:t>
            </w:r>
          </w:p>
          <w:p w14:paraId="4804BD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（1）监护内容按照顺序依次分为心率、心电图、动脉血压、体温、脉搏、血氧饱和度、中心静脉压、血常规、血清电解质、动脉血气、肝肾功能等项。</w:t>
            </w:r>
          </w:p>
          <w:p w14:paraId="0D58329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（2）按照系统，监护内容分为以下方面。</w:t>
            </w:r>
          </w:p>
          <w:p w14:paraId="5FF9568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①循环系统：包括心率、节律、心排量（CO）或心脏指数（CI）、心脏搏出量、左室做功指标、右室做功指标、中心静脉压（CVP）、肺动脉压、肺毛细血管楔压（PCWP）、全身血管阻力指数、肺血管阻力指数等。</w:t>
            </w:r>
          </w:p>
          <w:p w14:paraId="39752BA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②呼吸系统：潮气量、每分钟通气量、呼吸频率、呼吸幅度、平均气道压力、平均气阻力、吸气力、呼气力、气道峰值压力、肺的动态或静态顺应性、肺通气与血流比例、肺泡动脉氧分压差、末梢血氧饱和度、呼气末二氧化碳分压，以及血气分析指标（如 pH 值、氧分压、二氧化碳分压等）。</w:t>
            </w:r>
          </w:p>
          <w:p w14:paraId="6721044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③肾功能：24 小时或每小时尿量，尿比重、尿 pH 值、尿蛋白定量，血、尿肌酐和尿素氮的测定，内生肌酐清除率，血、尿渗透压比值，24 小时代谢产物（如尿素氮、肌酐、总氮及电解质成分等）在尿中排出量。</w:t>
            </w:r>
          </w:p>
          <w:p w14:paraId="77F5C6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④中枢神经系统：意识状态、瞳孔大小及对光反应、肢体肌力及肌腱反射、皮肤感觉等临床观察，有条件可做颅内压力、脑电图、脑血流图监测及头颅影像学检查。</w:t>
            </w:r>
          </w:p>
          <w:p w14:paraId="4509A62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⑤水、电解质和酸碱平衡：血液钾、钠、氯、钙离子测定，微量元素的测定，24 小时尿电解质成分的排出量，血液 pH 值、动脉血氧分压（PaO2）、实际碳酸氢根、标准碳酸氢根、剩余碱和缓冲碱等。</w:t>
            </w:r>
          </w:p>
          <w:p w14:paraId="3A51F8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⑥血液系统：血红蛋白、红细胞压积、白细胞计数和分类、血小板计数、出血时间、凝血时间、凝血酶原时间、部分凝血活酶时间、纤维蛋白原定量、纤维蛋白原降解产物定量、3P 试验，必要时做骨髓穿刺检查。</w:t>
            </w:r>
          </w:p>
          <w:p w14:paraId="650A879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⑦消化系统：血清总胆红素、结合胆红素、白蛋白、球蛋白、谷丙转氨酶、胃液 pH 值、呕吐物或粪便潜血试验，观察腹胀、腹水、腹痛及肠鸣音等。</w:t>
            </w:r>
          </w:p>
          <w:p w14:paraId="38E296F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⑧代谢和营养：血清白蛋白、转铁蛋白含量，血葡萄糖、肌酐测定，24小时肌酐排出量，总氮平衡，基础代谢率、呼吸商测定，体重，皮下脂肪充实程度，中臂肌肉周长测定。</w:t>
            </w:r>
          </w:p>
          <w:p w14:paraId="7D41953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二、监护分级</w:t>
            </w:r>
          </w:p>
          <w:p w14:paraId="05AA6EE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临床上一般将监护分为三级。</w:t>
            </w:r>
          </w:p>
          <w:p w14:paraId="4C0AC88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一级监测</w:t>
            </w:r>
          </w:p>
          <w:p w14:paraId="7AF96CD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病情危重，随时需要抢救的患者。指两个以上脏器功能障碍者，病情重、病死率高。内容：常规监测（生命体征，尿量，出入量，心电图）；受损脏器功能监测；其他脏器功能监测。</w:t>
            </w:r>
          </w:p>
          <w:p w14:paraId="0A0D9D5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二级监测</w:t>
            </w:r>
          </w:p>
          <w:p w14:paraId="39D6AC5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疾病和手术后可能有致命危险的患者。指一个脏器功能障碍者。内容：常规监测；受损脏器功能监测。</w:t>
            </w:r>
          </w:p>
          <w:p w14:paraId="15A960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三级监测</w:t>
            </w:r>
          </w:p>
          <w:p w14:paraId="7D19AFD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病情趋于平稳的患者。指生命体征平稳，已经脱离危险。内容：常规监测。</w:t>
            </w:r>
          </w:p>
          <w:p w14:paraId="6274D7F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46E79CC9">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教师通过</w:t>
            </w:r>
            <w:r>
              <w:rPr>
                <w:rFonts w:hint="eastAsia" w:ascii="Times New Roman" w:hAnsi="Times New Roman"/>
                <w:b/>
                <w:szCs w:val="24"/>
                <w:lang w:eastAsia="zh-CN"/>
              </w:rPr>
              <w:t>监护内容及监护分级展示</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学生了解</w:t>
            </w:r>
            <w:r>
              <w:rPr>
                <w:rFonts w:hint="eastAsia" w:ascii="Times New Roman" w:hAnsi="Times New Roman"/>
                <w:b/>
                <w:szCs w:val="24"/>
                <w:lang w:eastAsia="zh-CN"/>
              </w:rPr>
              <w:t>监护内容及监护分级</w:t>
            </w:r>
            <w:r>
              <w:rPr>
                <w:rFonts w:hint="eastAsia" w:ascii="Times New Roman" w:hAnsi="Times New Roman"/>
                <w:b/>
                <w:szCs w:val="24"/>
              </w:rPr>
              <w:t>的基本理论知识。</w:t>
            </w:r>
          </w:p>
        </w:tc>
      </w:tr>
      <w:tr w14:paraId="365E58B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3866B8C4">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6F9C64B7">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0AAEF282">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742391DC">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cs="宋体"/>
                <w:b/>
                <w:bCs w:val="0"/>
                <w:kern w:val="0"/>
                <w:sz w:val="21"/>
                <w:szCs w:val="21"/>
                <w:lang w:val="en-US" w:eastAsia="zh-CN" w:bidi="ar"/>
              </w:rPr>
              <w:t>监护内容及监护分级，掌握各个系统疾病的临床护理观察要点。</w:t>
            </w:r>
          </w:p>
        </w:tc>
        <w:tc>
          <w:tcPr>
            <w:tcW w:w="1366" w:type="dxa"/>
            <w:tcBorders>
              <w:tl2br w:val="nil"/>
              <w:tr2bl w:val="nil"/>
            </w:tcBorders>
            <w:vAlign w:val="center"/>
          </w:tcPr>
          <w:p w14:paraId="630676FD">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44D92A1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1401FF9C">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133EECF1">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1737C6C8">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简述监护分级</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7A8F1DD5">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369DF86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73260543">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34C81C59">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展示常用重症监护技术</w:t>
            </w:r>
          </w:p>
          <w:p w14:paraId="2E44173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一、体温监护</w:t>
            </w:r>
          </w:p>
          <w:p w14:paraId="53B52EE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方法同普通监护，体温监测每 4 小时一次。如有体温异常及时通知医生。</w:t>
            </w:r>
          </w:p>
          <w:p w14:paraId="30539D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二、呼吸系统功能监护</w:t>
            </w:r>
          </w:p>
          <w:p w14:paraId="092F879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（一）人工气道的建立</w:t>
            </w:r>
          </w:p>
          <w:p w14:paraId="44A0A16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概念</w:t>
            </w:r>
          </w:p>
          <w:p w14:paraId="71E4479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人工气道是将一导管经口 / 鼻或气管切开插入气管内建立的气体通道。</w:t>
            </w:r>
          </w:p>
          <w:p w14:paraId="4A34EC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建立人工气道是治疗和改善呼吸衰竭的重要手段，它可以纠正缺氧状态，改善通气功能，有效地清除气道分泌物，与多功能呼吸机连接，可通过监测通气量、呼吸力学等参数了解患者的呼吸功能。</w:t>
            </w:r>
          </w:p>
          <w:p w14:paraId="755DE2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人工气道的种类</w:t>
            </w:r>
          </w:p>
          <w:p w14:paraId="78797E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气道的建立分为喉上途径和喉下途径。喉上途径是指经口和经鼻两种；喉下途径是指经环甲膜和经气管两种。</w:t>
            </w:r>
          </w:p>
          <w:p w14:paraId="0467C82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常见的人工气道有：环甲膜穿刺、气管插管、气管切开等。</w:t>
            </w:r>
          </w:p>
          <w:p w14:paraId="183C652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（1）环甲膜穿刺：该方法只作为突然呼吸停止急救时，提供有效通气的暂时性措施，应尽快做气管插管或气管切开。</w:t>
            </w:r>
          </w:p>
          <w:p w14:paraId="274B9D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（2）气管插管：分为经口插管和经鼻插管两种。经鼻插管主要用于张口困难或口腔、颌骨外伤以及需较长时间保留气管插管者。</w:t>
            </w:r>
          </w:p>
          <w:p w14:paraId="313EF56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（3）气管切开：适用于呼吸肌无力者。</w:t>
            </w:r>
          </w:p>
          <w:p w14:paraId="564FAA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人工气道的管理</w:t>
            </w:r>
          </w:p>
          <w:p w14:paraId="1F4B88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（1）人工气道的固定方法：应经常检查导管上的标记以确定导管的位置，正常情况下导管尖端应位于隆突上 2～3 cm 处。导管向上移位易导致声带损伤、意外脱管或通气障碍，向下移位易导致单肺通气。为防止移位，应该用绳子或胶布将导管妥善固定。</w:t>
            </w:r>
          </w:p>
          <w:p w14:paraId="7AFF0DE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（2）护理记录：需记录的项目有插管日期和时间、插管途径、插管深度、气囊的最佳充气量等。</w:t>
            </w:r>
          </w:p>
          <w:p w14:paraId="3F6BDB8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（3）气囊的管理：定时给气囊放气，注意在决定拔管及气囊放气前，必须清除气囊上的滞留物，防止误吸、呛咳和窒息的发生。对长期机械通气的，注意把气囊的压力保持在 2.45 kPa（25 mmHg）以下，即低于正常的毛细血管灌注压，以防气管内壁受压坏死。</w:t>
            </w:r>
          </w:p>
          <w:p w14:paraId="3BC3259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气道湿化：建立人工气道以后，使患者失去了鼻腔等上呼吸道对吸入气体的加湿加温作用，外界的冷而干燥的气体直接进入气道内，并且机械通气时被送入流速、容量较大的气体，使呼吸道失水，痰液变黏稠；损伤黏膜纤毛系统的功能，使清除气道分泌物的能力大大降低，痰液不易排除，甚至阻塞气道。因此，在进行机械通气时，应加强湿化。常用的湿化方法有：温湿交换过滤器、蒸汽加温加湿、雾化加湿、气管内直接滴液等。</w:t>
            </w:r>
          </w:p>
          <w:p w14:paraId="1E142B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（5）吸痰：及时清除气道内的分泌物，借助物理治疗方法，护士应及时吸痰。吸痰时应使用无菌技术，并在过程前后向患者提供纯氧，以减少因吸痰引起的缺氧、心律失常或肺不张等。每次吸痰时间不超过 15 秒。</w:t>
            </w:r>
          </w:p>
          <w:p w14:paraId="601F789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（6）口腔护理：每日两次细致的口腔护理，以预防由于口腔病原菌逆流而引起的呼吸道感染。在做口腔护理前，检查气囊充气是否良好，以防误吸。</w:t>
            </w:r>
          </w:p>
          <w:p w14:paraId="1DA3636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（二）机械通气监测</w:t>
            </w:r>
          </w:p>
          <w:p w14:paraId="7C23AB8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机械通气是指自然通气和（或）氧合功能出现障碍时运用器械（主要是呼吸机）使患者恢复有效通气并改善氧合作用的支持手段。</w:t>
            </w:r>
          </w:p>
          <w:p w14:paraId="4BF4F1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机械通气的方法</w:t>
            </w:r>
          </w:p>
          <w:p w14:paraId="15B3A7A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（1）无创通气：鼻 / 面罩法。</w:t>
            </w:r>
          </w:p>
          <w:p w14:paraId="5A4FDDA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（2）有创通气：气管插管和气管切开。</w:t>
            </w:r>
          </w:p>
          <w:p w14:paraId="4BA788F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呼吸机常用的模式</w:t>
            </w:r>
          </w:p>
          <w:p w14:paraId="06BC2D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呼吸机通气模式有很多种，但何种通气模式为最优，目前尚无定论。现代呼吸机有流量触发和压力触发两种方式以适应患者的需要，因而可减少患者的呼吸功能消耗。目前常用的呼吸机模式有以下几种。</w:t>
            </w:r>
          </w:p>
          <w:p w14:paraId="7088E2E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（1）控制通气（CMV）：呼吸机完全代替自主呼吸的方式，包括容量控制通气和压力控制通气。</w:t>
            </w:r>
          </w:p>
          <w:p w14:paraId="6FDB2E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①容量控制通气（VCV）。</w:t>
            </w:r>
          </w:p>
          <w:p w14:paraId="6E03309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设置：潮气量（VT）、呼吸频率（f）、呼吸比（1/E）和吸气流速完全由呼吸机来控制。</w:t>
            </w:r>
          </w:p>
          <w:p w14:paraId="20E3D02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②压力控制通气（PCV）。</w:t>
            </w:r>
          </w:p>
          <w:p w14:paraId="7BEFC55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设置：预置压力控制水平和吸气时间。</w:t>
            </w:r>
          </w:p>
          <w:p w14:paraId="20B0687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（2）辅助通气（AV）。吸气用力时提供通气辅助，压力切换型通气机提供压力辅助，容积切换型通气机提供容积辅助。应用于偶尔有自主呼吸的患者。</w:t>
            </w:r>
          </w:p>
          <w:p w14:paraId="3CF5617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（3）辅助—控制通气（A-CV）：自主呼吸触发呼吸机送气后，呼吸机按预置参数送气，无力触发或自主呼吸频率低于预置频率，呼吸机则以预置参数通气。</w:t>
            </w:r>
          </w:p>
          <w:p w14:paraId="47499AB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（4）间歇指令通气（IMV）和同步间歇指令通气（SIMV）。</w:t>
            </w:r>
          </w:p>
          <w:p w14:paraId="3A3A058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① IMV：按预置频率传送常规正压通气，在两次机械周期之间允许自主呼吸。</w:t>
            </w:r>
          </w:p>
          <w:p w14:paraId="4E6CFC9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② SIMV：IMV 的每一次送气在同步触发窗内由自主呼吸触发，若在同步触发窗内无触发，呼吸机按预置参数送气，间歇期允许自主呼吸存在。应用于具有一定自主呼吸能力者，逐渐下调 IMV 辅助频率，向撤机过渡。若自主呼吸频率过快，采用此方式可降低自主呼吸频率和呼吸功耗。</w:t>
            </w:r>
          </w:p>
          <w:p w14:paraId="56857F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（5）持续气道正压通气（CPAP）：是指在自主呼吸条件下，整个呼吸周期气道均保持正压。应用于治疗阻塞型睡眠呼吸暂停综合征，治疗支气管哮喘，作为撤机技术应用，治疗急性心源性或非心源性肺水肿。</w:t>
            </w:r>
          </w:p>
          <w:p w14:paraId="13D96D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呼吸机报警的监测及处理</w:t>
            </w:r>
          </w:p>
          <w:p w14:paraId="333F79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密切观察呼吸机的运转情况及各项指标的设置是否合适。如有报警，应迅速查明原因，并及时予以排除，否则会危及患者生命。如报警原因无法确定时，首先要断开呼吸机，使用简易呼吸器进行人工呼吸维持通气和氧合，保证患者的安全，再寻求其他方法解除报警并对呼吸机进行检修。</w:t>
            </w:r>
          </w:p>
          <w:p w14:paraId="20B0CE0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检查故障的一般规律：按照报警系统提示的问题进行检查；检查气源（氧气、压缩空气），注意管道连接是否紧密，有无漏气；观察各监测参数有无异常，分析原因；查看各连接部分是否紧密，尤其是管道各部分的连接处、湿化罐、接水瓶等，注意管道不要打折、扭曲；及时清理管道内积水，呼吸机管道水平应低于患者的呼吸道，以防止引起呛咳、窒息及呼吸机相关性肺炎的发生。</w:t>
            </w:r>
          </w:p>
          <w:p w14:paraId="5BFE2B7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（2）机械通气中，气囊充气后使插管与气道之间的气道保持密闭状态，其作用主要有两个：在正压通气时既可保证潮气量的给入，又可预防口腔内分泌物和胃内容物的误吸。</w:t>
            </w:r>
          </w:p>
          <w:p w14:paraId="440F9FD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气道压力监测。①高压报警：患者呼吸道分泌物过多、湿化效果不好刺激呼吸道、患者气道痉挛或有病情变化、呼吸机管道内积水过多，管道受压、打折等，患者激动、烦躁致使气道内痰堵、异物堵塞。②低压报警：气囊漏气、充气不足或破裂、呼吸机管路破裂、断开或接头衔接不紧造成漏气，气源不足造成通气量下降。</w:t>
            </w:r>
          </w:p>
          <w:p w14:paraId="6932E68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（三）血气分析的监测</w:t>
            </w:r>
          </w:p>
          <w:p w14:paraId="2CC0F7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pH 值</w:t>
            </w:r>
          </w:p>
          <w:p w14:paraId="2715BAB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正常值：7.35～7.45。</w:t>
            </w:r>
          </w:p>
          <w:p w14:paraId="564400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pH ＜ 7.35 为机体酸中毒，见于未代偿或代偿不全的原发性呼吸性或代谢性酸中毒，如肺心病、肺气肿、肺不张、肾功能衰竭等。</w:t>
            </w:r>
          </w:p>
          <w:p w14:paraId="29B755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pH ＞ 7.45 为机体碱中毒，见于未代偿或代偿不全的原发性呼吸性或代谢性碱中毒，如感染、缺氧、呕吐、呼吸中枢兴奋等。</w:t>
            </w:r>
          </w:p>
          <w:p w14:paraId="134DC1B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动脉血二氧化碳分压（PaCO2）</w:t>
            </w:r>
          </w:p>
          <w:p w14:paraId="6C0CB65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正常值：婴儿 3.5～5.5 kPa，成人男性 4.7～6.4 kPa，成人女性 4.3～6.0 kPa。</w:t>
            </w:r>
          </w:p>
          <w:p w14:paraId="028673D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动脉血氧分压（PaO2）</w:t>
            </w:r>
          </w:p>
          <w:p w14:paraId="70604A9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正常值：新生儿 8.0～12.0 kPa，成人 10.6～13.3 kPa。</w:t>
            </w:r>
          </w:p>
          <w:p w14:paraId="0FDAFBB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PaO2 表示溶解在血中的氧气所产生的压力，临床上根据测得的 PaO2 值可判断缺氧的程度。</w:t>
            </w:r>
          </w:p>
          <w:p w14:paraId="377256C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动脉血氧饱和度（SaO2）</w:t>
            </w:r>
          </w:p>
          <w:p w14:paraId="0FD8542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正常值：95%～100%。</w:t>
            </w:r>
          </w:p>
          <w:p w14:paraId="680283C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SaO2 是指血红蛋白与氧结合的能力，可反映氧分压的大小。</w:t>
            </w:r>
          </w:p>
          <w:p w14:paraId="4FB82D9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 剩余碱（BE）</w:t>
            </w:r>
          </w:p>
          <w:p w14:paraId="2D3F894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正 常 值： 新 生 儿 -10～-2 mmol/L，儿童 -4～+ 2 mmol/L， 成人 -3～+ 3 mmol/L。</w:t>
            </w:r>
          </w:p>
          <w:p w14:paraId="5A04A4A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由于 BE 测定时排除了呼吸的干扰，可较正确地反映体内的缓冲碱多少的情况，因而是反映代谢性酸碱失衡的重要指标。代谢性碱中毒时，BE 会升高，代谢性酸中毒时，BE 会降低。</w:t>
            </w:r>
          </w:p>
          <w:p w14:paraId="709F57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 缓冲碱（BB）</w:t>
            </w:r>
          </w:p>
          <w:p w14:paraId="14DAA20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正常值：45～55 mmol/L。</w:t>
            </w:r>
          </w:p>
          <w:p w14:paraId="681304C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缓冲碱升高，常见于代谢性碱中毒；缓冲碱降低，常见于代谢性酸中毒。</w:t>
            </w:r>
          </w:p>
          <w:p w14:paraId="02D07B7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7. 混合静脉血氧饱和度（SvO2）</w:t>
            </w:r>
          </w:p>
          <w:p w14:paraId="237976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正常值：68%～77%。</w:t>
            </w:r>
          </w:p>
          <w:p w14:paraId="5D3DF04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当 SvO2 ＜ 68% 时，提示氧供应减少，可能为血红蛋白太低，心输出量减少，动脉氧含量减少或组织耗氧量增加。当 SvO2 ＜ 60% 时，提示氧供应严重不足，当 SvO2 ＜ 50% 时，将出现无氧代谢和酸中毒，这一指标在血气分析中非常重要。</w:t>
            </w:r>
          </w:p>
          <w:p w14:paraId="3C65EB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8. 混合静脉氧分压（PvO2）</w:t>
            </w:r>
          </w:p>
          <w:p w14:paraId="1A75A3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正常值：35～45 mmHg。它能间接反映全身组织的氧供求情况。人工气道的护理重点、呼吸机常用的模式、血气分析的正常值。</w:t>
            </w:r>
          </w:p>
          <w:p w14:paraId="78E456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三、循环系统功能监护</w:t>
            </w:r>
          </w:p>
          <w:p w14:paraId="5CB123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（一）血流动力学监测</w:t>
            </w:r>
          </w:p>
          <w:p w14:paraId="04A3DA2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血流动力学监测可分为无创伤和有创伤两大类。无创的血流动力学监测，是应用对机体组织器官没有机械损伤的方法，经皮肤或黏膜等途径间接取得心血管功能的各项参数，如自动的无创动脉压监测、心电图等，已成为常用的监测手段。有创的血流动力学监测，是指经体表插入各种导管或监测探头，到心脏和（或）血管腔内，利用各种监测仪或监测装置直接测定各项生理参数，如中心静脉压、漂浮导管等。</w:t>
            </w:r>
          </w:p>
          <w:p w14:paraId="299A45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血流动力学监测的适应证是：各种危重、创伤、休克、呼吸衰竭和心血管疾病以及血胸、脑外科及较大而复杂的手术。</w:t>
            </w:r>
          </w:p>
          <w:p w14:paraId="0C7E9C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心率</w:t>
            </w:r>
          </w:p>
          <w:p w14:paraId="524F99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正常值：正常成人安静时心率应在 60～100 次 / 分，婴幼儿在 100～160次 / 分，儿童在 80～140 次 / 分。心率＜ 60 次 / 分时应及时处理。心率过慢应用药物效果不佳者，可应用起搏器。心率过快或排血量减少，可使血压下降。</w:t>
            </w:r>
          </w:p>
          <w:p w14:paraId="3F50A4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心率增快的原因：手术创伤、切口疼痛；儿茶酚胺类药物的作用；麻醉剂的作用；血容量不足；体温增高；腹胀；躁动、焦虑；缺氧；脓毒血症；药物作用；交感神经兴奋；胃肠胀气和尿潴留。</w:t>
            </w:r>
          </w:p>
          <w:p w14:paraId="6F536B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心率减慢的原因：缺氧；酸中毒；大量镇静剂等药物因素；洋地黄作用；迷走神经兴奋；输液过多或速度过快，导致心脏胀满；应用抑制心脏的药物。</w:t>
            </w:r>
          </w:p>
          <w:p w14:paraId="0E0ED79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动脉压</w:t>
            </w:r>
          </w:p>
          <w:p w14:paraId="121BFA8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（1）影响血压的因素：影响动脉压的因素包括心排血量、循环血量、周围血管阻力、血管壁的弹性和血液黏滞度等 5 个方面。血压能够反映心室后负荷、心肌耗氧量及周围血管阻力。虽然血压能反映循环功能，但不是唯一指标。因为组织灌注取决于血压和周围血管阻力两个因素。若血管收缩，阻力增高，血压虽高，而组织血流却减少，故此判断循环功能不能单纯追求较高的血压，应结合多项指标，综合分析。</w:t>
            </w:r>
          </w:p>
          <w:p w14:paraId="15359D6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（2）测量方法：无创性血压监测和动脉穿刺插管直接测压法。</w:t>
            </w:r>
          </w:p>
          <w:p w14:paraId="2D0FEF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（3）血压监测的临床意义。</w:t>
            </w:r>
          </w:p>
          <w:p w14:paraId="7503F3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①收缩压：正常为 90～120 mmHg，主要保证脏器的供血。</w:t>
            </w:r>
          </w:p>
          <w:p w14:paraId="6B86350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②舒张压：正常为 60～80 mmHg，其重要性在于维持冠状动脉灌注压。</w:t>
            </w:r>
          </w:p>
          <w:p w14:paraId="7572DF8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③平均动脉压：是心动周期的平均血压，是反映脏器组织灌注良好的指</w:t>
            </w:r>
          </w:p>
          <w:p w14:paraId="78AED22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标之一。正常值是 60～100 mmHg。</w:t>
            </w:r>
          </w:p>
          <w:p w14:paraId="5F2D5FB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中心静脉压监测</w:t>
            </w:r>
          </w:p>
          <w:p w14:paraId="017886E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（1）概念：中心静脉压（CVP）是指胸腔内上、下腔静脉的压力，由四种成分组成：右心室充盈压；静脉内壁压即静脉内血容量；作用于静脉外壁的压力，即静脉收缩压和张力；静脉毛细血管压力。CVP 的高低，主要反映右心室前负荷和血容量。与静脉张力和右心功能相关，不能反映左心功能。</w:t>
            </w:r>
          </w:p>
          <w:p w14:paraId="1F6C52B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（2）正常值及临床意义：CVP 正常值为 5～12 cmH2O。小于 2 cmH2O 表示右心房充盈不佳或血容量不足；大于 15 cmH2O，表示右心功能不良。CVP监测是反映右心功能的间接指标。</w:t>
            </w:r>
          </w:p>
          <w:p w14:paraId="62BAD5F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（3）适应证。</w:t>
            </w:r>
          </w:p>
          <w:p w14:paraId="278B32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①各类大中手术，尤其是心血管、颅脑手术和胸部大而复杂的手术。</w:t>
            </w:r>
          </w:p>
          <w:p w14:paraId="03A7C5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②各类休克。</w:t>
            </w:r>
          </w:p>
          <w:p w14:paraId="480D154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③脱水、失血和血容量不足。</w:t>
            </w:r>
          </w:p>
          <w:p w14:paraId="03F9D0A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④心力衰竭。</w:t>
            </w:r>
          </w:p>
          <w:p w14:paraId="5BC0DDB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⑤大量静脉输血、输液或需要静脉高能量营养的治疗者。</w:t>
            </w:r>
          </w:p>
          <w:p w14:paraId="1B4BF6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（4）影响 CVP 的因素。</w:t>
            </w:r>
          </w:p>
          <w:p w14:paraId="686E3D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① CVP 升高的原因：右心泵功能低下，如心力衰竭、心源性休克；肺循环阻力升高，如肺水肿、肺梗死、支气管痉挛、肺动脉高压；补液补血过量，速度过快；药物影响，如使用强烈的收缩血管药物时，小静脉收缩，回心血量相对增加，导致 CVP 升高；胸膜腔内压升高时，如张力性气胸、血胸，或使用呼吸机呼气末正压呼吸时，气管内吸痰及剧烈咳嗽，患者挣扎和躁动时；致腹内压增高的各种疾病；心包填塞，缩窄性心包炎。</w:t>
            </w:r>
          </w:p>
          <w:p w14:paraId="3751A30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② CVP 下降的原因：血容量不足，包括大量出血、大量利尿而血液及液</w:t>
            </w:r>
          </w:p>
          <w:p w14:paraId="7CA99ED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体未及时补充时；用扩血管药或心功能不全患者用洋地黄等强心药物后，血管张力降低，血容量相对不足，CVP 下降；患者应用吗啡或地西泮等镇静药物后。</w:t>
            </w:r>
          </w:p>
          <w:p w14:paraId="01BB6C0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③ 处理：观察 CVP 的动态变化，临床上结合患者血压、心率、颈静脉充盈程度、肝脏大小、是否脱水等进行综合分析，对不同情况做出相应的处理。</w:t>
            </w:r>
          </w:p>
          <w:p w14:paraId="3AB37B1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a. CVP 低、血压低、心率快，提示血容量不足，应补充血容量。</w:t>
            </w:r>
          </w:p>
          <w:p w14:paraId="114D531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b. CVP 高、血压正常，提示容量负荷过重或心力衰竭，应强心利尿。</w:t>
            </w:r>
          </w:p>
          <w:p w14:paraId="25F11B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c. CVP 进行性升高、血压降低，可能有心包压塞或严重的心功能不全，</w:t>
            </w:r>
          </w:p>
          <w:p w14:paraId="3BC9353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应强心、利尿、心包引流。</w:t>
            </w:r>
          </w:p>
          <w:p w14:paraId="0572406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d. CVP 正常、血压低，可能为容量不足或心排血量降低，用强心、升压药和试行小量快速输血或输液。</w:t>
            </w:r>
          </w:p>
          <w:p w14:paraId="135A695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e. CVP 高、血压高，提示周围血管阻力增大，循环血量多，可应用血管扩张剂和利尿药，停止输血输液。</w:t>
            </w:r>
          </w:p>
          <w:p w14:paraId="2F1163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（二）皮肤、末梢的观察和处理</w:t>
            </w:r>
          </w:p>
          <w:p w14:paraId="423DF4C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皮肤与末梢表面的温度、潮湿度、颜色、弹性，毛细血管和静脉的充盈度，动脉搏动可反映外周的循环状态。</w:t>
            </w:r>
          </w:p>
          <w:p w14:paraId="1EAC539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通过对皮肤、末梢的观察，可以了解循环状态。如果肢端皮肤温暖、干燥、红润、弹性好、按压指（趾）甲后当手离开时，甲床迅速恢复红润，则提示末梢循环良好。如果肢端皮肤湿凉、甲床发绀或皮肤有花斑，按压指甲后，甲床苍白，恢复红润缓慢，提示末梢循环不佳，为机体温度低、心力衰竭、低心排出量综合征或休克的表现，应予以注意。</w:t>
            </w:r>
          </w:p>
          <w:p w14:paraId="5827C1A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睑结膜、甲床、口唇苍白，则提示有贫血，应测量血红蛋白。根据测得的结果，给予输血。皮肤黄染大多是由于溶血或肝胆损害所致。皮肤、末梢发绀则提示有低氧血症或末梢循环衰竭，应注意改善氧合，辅助呼吸，根据血气分析结果调整呼吸机参数。急性左心衰竭时可出现呼吸困难、冷汗、末梢发绀、咳粉红色泡沫痰。治疗主要在于加强心肌收缩力，减轻心脏前后负荷等。应用激素量大时也可以出现多汗甚至虚脱，应予以注意。</w:t>
            </w:r>
          </w:p>
          <w:p w14:paraId="7F97A15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观察皮肤情况，如有无静脉炎、水肿、脱水、皮疹、皮肤黄染、胶布过敏、碘酊烧伤、电刀烫伤及挤压伤等。皮疹大部分为输血、输液或药物副作用的结果，可应用抗过敏药物，如异丙嗪肌内注射，或苯海拉明肌内注射，或地塞米松静脉注射。</w:t>
            </w:r>
          </w:p>
          <w:p w14:paraId="4AC235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注意皮肤压疮护理。定时翻身、按摩受压部位。床褥要求平整、干燥、洁净、无碎屑。</w:t>
            </w:r>
          </w:p>
          <w:p w14:paraId="3BAF047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皮肤干燥、弹性差、眼窝凹陷，提示有脱水。根据脱水程度，给予适当补充液体。轻度脱水，只要血压、心率正常，一般不急于补充。因为术后水分略欠问题不大，且对于治疗心力衰竭、肺水肿、脑水肿有利。皮肤湿凉、弹性差，末梢温度与肛内温度相差大于 4 ℃，提示心功能差、低心排出量综合征、末梢灌注不良，应积极处理。</w:t>
            </w:r>
          </w:p>
          <w:p w14:paraId="343678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四、中枢神经系统功能监护</w:t>
            </w:r>
          </w:p>
          <w:p w14:paraId="362B6F8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（一）意识障碍的观察</w:t>
            </w:r>
          </w:p>
          <w:p w14:paraId="5824820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意识障碍是指人对周围环境以及自身状态的识别和观察能力出现障碍。一种是以兴奋性降低为特点，表现为嗜睡、意识模糊、昏睡甚至昏迷；另一种是以兴奋性增高为特点，表现为高级中枢急性活动失调的状态，包括意识模糊、定向力丧失、感觉错乱、躁动不安、言语杂乱等。</w:t>
            </w:r>
          </w:p>
          <w:p w14:paraId="16C15A5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嗜睡</w:t>
            </w:r>
          </w:p>
          <w:p w14:paraId="7ADDEED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嗜睡是程度最浅的一种意识障碍，经常处于睡眠状态，给予较轻微的刺激即可被唤醒，醒后意识活动接近正常，但对周围环境的鉴别能力较差，反应迟钝，刺激停止后又入睡。</w:t>
            </w:r>
          </w:p>
          <w:p w14:paraId="2027B7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昏睡</w:t>
            </w:r>
          </w:p>
          <w:p w14:paraId="1CF09C2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昏睡是较嗜睡更深的意识障碍，表现为意识范围明显缩小，精神活动极为迟钝，对较强刺激有反应。不易唤醒，醒时睁眼，但缺乏表情，对反复问话仅能做简单回答，回答时含混不清，常答非所问，各种反射活动存在。</w:t>
            </w:r>
          </w:p>
          <w:p w14:paraId="588B5A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昏迷</w:t>
            </w:r>
          </w:p>
          <w:p w14:paraId="26CD3A4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意识活动丧失，对外界各种刺激或自身内部的需要不能感知。可有无意识的活动，任何刺激均不能被唤醒。按刺激反应及反射活动等可分为以下三度。</w:t>
            </w:r>
          </w:p>
          <w:p w14:paraId="4A0201F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（1）浅昏迷：随意活动消失，对疼痛刺激有反应，各种生理反射（吞咽、咳嗽、角膜反射、瞳孔对光反应等）存在，体温、脉搏、呼吸多无明显改变，可伴谵妄或躁动。</w:t>
            </w:r>
          </w:p>
          <w:p w14:paraId="6FA85DA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（2）深昏迷：随意活动完全消失，对各种刺激皆无反应，各种生理反射消失，可有呼吸不规则、血压下降、大小便失禁、全身肌肉松弛、去大脑强直等。</w:t>
            </w:r>
          </w:p>
          <w:p w14:paraId="0657513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（3）极度昏迷：又称脑死亡。患者处于濒死状态，无自主呼吸，各种反射消失，脑电图呈病理性电静息，脑功能丧失持续在 24 小时以上，排除了药物因素的影响。</w:t>
            </w:r>
          </w:p>
          <w:p w14:paraId="40807A3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去大脑皮质状态</w:t>
            </w:r>
          </w:p>
          <w:p w14:paraId="674FE1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去大脑皮质状态为一种特殊类型的意识障碍。它与昏迷不同，是大脑皮质受到严重的广泛损害，功能丧失，而大脑皮质下及脑干功能仍然保存在一种特殊状态。有觉醒和睡眠周期。觉醒时睁开眼睛，各种生理反射如瞳孔对光反射、角膜反射、吞咽反射、咳嗽反射存在，喂之能吃，貌似清醒，但缺乏意识活动，故有“瞪目昏迷”“醒状昏迷”之称。常可较长期存活。常见于各种急性缺氧、缺血性脑病、癫痫大发作持续状态、各种脑炎、严重颅脑外伤后等。</w:t>
            </w:r>
          </w:p>
          <w:p w14:paraId="0E949C7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 谵妄</w:t>
            </w:r>
          </w:p>
          <w:p w14:paraId="0CFFEE9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谵妄是一种特殊类型的意识障碍。在意识模糊的同时，伴有明显的精神运动兴奋，如躁动不安、喃喃自语、抗拒喊叫等。有丰富的视幻觉和错觉。</w:t>
            </w:r>
          </w:p>
          <w:p w14:paraId="040C01B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夜间较重，多持续数日。见于感染中毒性脑病、颅脑外伤等。事后可部分回忆，有如梦境，或完全不能回忆。</w:t>
            </w:r>
          </w:p>
          <w:p w14:paraId="79850B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（二）瞳孔的监测</w:t>
            </w:r>
          </w:p>
          <w:p w14:paraId="4B2E8E5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正确掌握观察瞳孔的方法</w:t>
            </w:r>
          </w:p>
          <w:p w14:paraId="09B5104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正常成人瞳孔呈圆形，直径 2～5 mm，双侧对称等大等圆，对光反射灵敏。观察时要用聚光集中的电筒，对准两眼中间照射，对比观察两侧瞳孔大小、形状。再将光源分别移向双侧瞳孔中央，观察瞳孔的直接对光反射和间接对光反射，注意对光反射是否灵敏。</w:t>
            </w:r>
          </w:p>
          <w:p w14:paraId="660BCEA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颅脑损伤时的瞳孔变化</w:t>
            </w:r>
          </w:p>
          <w:p w14:paraId="1519D78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（1）伤后一侧瞳孔扩大、对光反射消失是颅内血肿的表现，如果伤后患者神志清醒，而一侧瞳孔散大，可能为动眼神经损伤。</w:t>
            </w:r>
          </w:p>
          <w:p w14:paraId="509EBCB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（2）伤后一侧瞳孔进行性散大、对侧肢体瘫痪、意识障碍，提示脑受压或脑疝。</w:t>
            </w:r>
          </w:p>
          <w:p w14:paraId="001937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（3）双侧瞳孔散大，对光反射消失，眼球固定伴深昏迷，则提示临终状态。</w:t>
            </w:r>
          </w:p>
          <w:p w14:paraId="092C568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（4）双侧瞳孔缩小，对光反射迟钝，则可能是脑桥损害、蛛网膜下腔出血，也可能是大量镇静药所致。</w:t>
            </w:r>
          </w:p>
          <w:p w14:paraId="33B65C5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（5）双侧瞳孔时大时小、变化不定，对光反应差，常为脑干损伤的特征。</w:t>
            </w:r>
          </w:p>
          <w:p w14:paraId="1683153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（6）眼球震颤为小脑或脑干损伤。</w:t>
            </w:r>
          </w:p>
          <w:p w14:paraId="6773D2A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各种意识障碍的定义及区别、颅脑损伤的瞳孔变化。</w:t>
            </w:r>
          </w:p>
          <w:p w14:paraId="7B1661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五、肾功能监护</w:t>
            </w:r>
          </w:p>
          <w:p w14:paraId="45F39C7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肾脏是机体调节水、电解质及酸碱平衡重要器官，也是一些物质代谢产物排泄场地，对净化机体内环境起着重要作用。</w:t>
            </w:r>
          </w:p>
          <w:p w14:paraId="7E8EDB4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肾功能监测的主要指标</w:t>
            </w:r>
          </w:p>
          <w:p w14:paraId="782298F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（1）排尿量：排尿量是评估内脏循环状况的主要指标。正常尿量是指 1 mL/（kg·h）；少于此量的 50% 为尿少，即成人每小时尿量少于 30 mL，儿童每小时尿量少于 20 mL；多尿是指成人尿量超过 2 mL/min 或超过 2.5 L/d。</w:t>
            </w:r>
          </w:p>
          <w:p w14:paraId="0FAAD0E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（2）尿比重：尿比重是评估肾小管功能状况的指标，正常情况下尿比重应大于 1.010。</w:t>
            </w:r>
          </w:p>
          <w:p w14:paraId="3563D88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（3）粗颗粒管型：粗颗粒管型是评估肾小管有否器质性病变的指标。</w:t>
            </w:r>
          </w:p>
          <w:p w14:paraId="5037FEE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（4）血尿素氮（BUN）：血尿素氮是评估肾小球滤过功能的指标，当肾小球滤过功能下降到正常的 50% 以上时，BUN 才升高，因此 BUN 不是反映肾小球滤过功能的敏感性指标。</w:t>
            </w:r>
          </w:p>
          <w:p w14:paraId="3D80F03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（5）血肌酐（SCr）：血肌酐是评估肾小球滤过功能的指标，当肾小球滤过功能下降到正常的 30% 时，SCr 才明显升高，因此 SCr 也不是反映肾小球滤过功能的敏感性指标。尿量变化是肾功能改变最直接的指标，ICU 患者通常记录每小时及24 小时尿量。正常成人 24 小时尿量平均为 1500 mL，超过 2500 mL 为多尿，少于 400 mL 为少尿，少于 100 mL 为无尿。</w:t>
            </w:r>
          </w:p>
          <w:p w14:paraId="3C35969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 xml:space="preserve">2. 围术期肾功能监护治疗 </w:t>
            </w:r>
          </w:p>
          <w:p w14:paraId="6E7883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急性肾功能不全的主要表现是尿少或无尿，会导致酸中毒及高血钾。积极治疗原发病及控制发病环节是治疗急性肾功能不全的基础。在少尿期应严格控制水、钠摄入量，努力纠正水、电解质、酸碱平衡失调，并控制感染，必要时应行透析治疗。在多尿期要努力防治低血钾、低血钠、低血钙、低血镁及脱水，并应继续努力控制感染。</w:t>
            </w:r>
          </w:p>
          <w:p w14:paraId="58CDE17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23FBBEE0">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教师通过</w:t>
            </w:r>
            <w:r>
              <w:rPr>
                <w:rFonts w:hint="eastAsia" w:ascii="Times New Roman" w:hAnsi="Times New Roman"/>
                <w:b/>
                <w:szCs w:val="24"/>
                <w:lang w:eastAsia="zh-CN"/>
              </w:rPr>
              <w:t>常用重症监护技术展示</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学生了解</w:t>
            </w:r>
            <w:r>
              <w:rPr>
                <w:rFonts w:hint="eastAsia" w:ascii="Times New Roman" w:hAnsi="Times New Roman"/>
                <w:b/>
                <w:szCs w:val="24"/>
                <w:lang w:eastAsia="zh-CN"/>
              </w:rPr>
              <w:t>常用重症监护技术</w:t>
            </w:r>
            <w:r>
              <w:rPr>
                <w:rFonts w:hint="eastAsia" w:ascii="Times New Roman" w:hAnsi="Times New Roman"/>
                <w:b/>
                <w:szCs w:val="24"/>
              </w:rPr>
              <w:t>的基本理论知识。</w:t>
            </w:r>
          </w:p>
        </w:tc>
      </w:tr>
      <w:tr w14:paraId="1A93191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227FDCD3">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03D7BD24">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225A2D24">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19DC7A3D">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cs="宋体"/>
                <w:b/>
                <w:bCs w:val="0"/>
                <w:kern w:val="0"/>
                <w:sz w:val="21"/>
                <w:szCs w:val="21"/>
                <w:lang w:val="en-US" w:eastAsia="zh-CN" w:bidi="ar"/>
              </w:rPr>
              <w:t>常用重症监护技术，让学生了解ICU 护士应掌握的常见操作技能</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77F7B0A3">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0126541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0B914417">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65C45EF2">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2CDA1E6E">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简述围术期肾功能监护治疗</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20A1BDC0">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006B99F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16E78166">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rPr>
              <w:t>教学反思</w:t>
            </w:r>
          </w:p>
        </w:tc>
        <w:tc>
          <w:tcPr>
            <w:tcW w:w="7173" w:type="dxa"/>
            <w:gridSpan w:val="2"/>
            <w:tcBorders>
              <w:tl2br w:val="nil"/>
              <w:tr2bl w:val="nil"/>
            </w:tcBorders>
            <w:vAlign w:val="center"/>
          </w:tcPr>
          <w:p w14:paraId="71CF4526">
            <w:pPr>
              <w:keepNext w:val="0"/>
              <w:keepLines w:val="0"/>
              <w:suppressLineNumbers w:val="0"/>
              <w:spacing w:before="0" w:beforeAutospacing="0" w:after="0" w:afterAutospacing="0" w:line="360" w:lineRule="auto"/>
              <w:ind w:left="0" w:right="0"/>
              <w:rPr>
                <w:rFonts w:hint="default" w:ascii="Times New Roman" w:hAnsi="Times New Roman"/>
              </w:rPr>
            </w:pPr>
            <w:r>
              <w:rPr>
                <w:rFonts w:hint="default" w:ascii="Times New Roman" w:hAnsi="Times New Roman"/>
              </w:rPr>
              <w:t>巧用启发思维，让</w:t>
            </w:r>
            <w:r>
              <w:rPr>
                <w:rFonts w:hint="eastAsia" w:ascii="Times New Roman" w:hAnsi="Times New Roman"/>
                <w:lang w:val="en-US" w:eastAsia="zh-CN"/>
              </w:rPr>
              <w:t>学生</w:t>
            </w:r>
            <w:r>
              <w:rPr>
                <w:rFonts w:hint="default" w:ascii="Times New Roman" w:hAnsi="Times New Roman"/>
              </w:rPr>
              <w:t>能体会到举一反三，做到有所领悟和创新，掌握一定的训练规律。</w:t>
            </w:r>
          </w:p>
        </w:tc>
      </w:tr>
    </w:tbl>
    <w:p w14:paraId="6611BF84"/>
    <w:sectPr>
      <w:pgSz w:w="11906" w:h="16838"/>
      <w:pgMar w:top="567" w:right="170" w:bottom="850" w:left="170" w:header="567" w:footer="85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26BAB8C6-8468-42B4-9EC3-1F6A3D609154}"/>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2" w:fontKey="{D3D094A8-457A-471D-82ED-7C3D4EDFCCC5}"/>
  </w:font>
  <w:font w:name="微软雅黑">
    <w:panose1 w:val="020B0503020204020204"/>
    <w:charset w:val="86"/>
    <w:family w:val="auto"/>
    <w:pitch w:val="default"/>
    <w:sig w:usb0="80000287" w:usb1="2ACF3C50" w:usb2="00000016" w:usb3="00000000" w:csb0="0004001F" w:csb1="00000000"/>
    <w:embedRegular r:id="rId3" w:fontKey="{36DEE274-DC52-4FF3-98C8-42C7977D8DBF}"/>
  </w:font>
  <w:font w:name="方正宋黑_GBK">
    <w:panose1 w:val="03000509000000000000"/>
    <w:charset w:val="86"/>
    <w:family w:val="script"/>
    <w:pitch w:val="default"/>
    <w:sig w:usb0="00000001" w:usb1="080E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panose1 w:val="020B0603050302020204"/>
    <w:charset w:val="00"/>
    <w:family w:val="swiss"/>
    <w:pitch w:val="default"/>
    <w:sig w:usb0="00000000" w:usb1="00000000" w:usb2="00000000" w:usb3="00000000" w:csb0="00000000" w:csb1="00000000"/>
  </w:font>
  <w:font w:name="汉仪菱心体简">
    <w:panose1 w:val="02010400000101010101"/>
    <w:charset w:val="86"/>
    <w:family w:val="auto"/>
    <w:pitch w:val="default"/>
    <w:sig w:usb0="00000001" w:usb1="080E0800" w:usb2="00000002" w:usb3="00000000" w:csb0="00040000" w:csb1="00000000"/>
    <w:embedRegular r:id="rId4" w:fontKey="{BBCF2902-7B18-448B-BA95-8F5A137F8FD7}"/>
  </w:font>
  <w:font w:name="思源宋体 CN Heavy">
    <w:panose1 w:val="02020900000000000000"/>
    <w:charset w:val="86"/>
    <w:family w:val="auto"/>
    <w:pitch w:val="default"/>
    <w:sig w:usb0="20000083" w:usb1="2ADF3C10" w:usb2="00000016" w:usb3="00000000" w:csb0="60060107" w:csb1="00000000"/>
  </w:font>
  <w:font w:name="微软简老宋">
    <w:panose1 w:val="00000000000000000000"/>
    <w:charset w:val="00"/>
    <w:family w:val="auto"/>
    <w:pitch w:val="default"/>
    <w:sig w:usb0="00000000" w:usb1="00000000" w:usb2="00000000" w:usb3="00000000" w:csb0="00000000" w:csb1="00000000"/>
    <w:embedRegular r:id="rId5" w:fontKey="{2DFE1BE7-7FA5-4316-87F0-17A5773BCC83}"/>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C28E3C">
    <w:pPr>
      <w:pStyle w:val="9"/>
      <w:pBdr>
        <w:bottom w:val="none" w:color="auto" w:sz="0" w:space="1"/>
      </w:pBdr>
      <w:rPr>
        <w:rFonts w:hint="eastAsia" w:eastAsia="宋体"/>
        <w:lang w:eastAsia="zh-CN"/>
      </w:rPr>
    </w:pPr>
    <w:r>
      <mc:AlternateContent>
        <mc:Choice Requires="wps">
          <w:drawing>
            <wp:anchor distT="0" distB="0" distL="114300" distR="114300" simplePos="0" relativeHeight="251663360" behindDoc="0" locked="0" layoutInCell="1" allowOverlap="1">
              <wp:simplePos x="0" y="0"/>
              <wp:positionH relativeFrom="column">
                <wp:posOffset>162560</wp:posOffset>
              </wp:positionH>
              <wp:positionV relativeFrom="paragraph">
                <wp:posOffset>-2540</wp:posOffset>
              </wp:positionV>
              <wp:extent cx="7019925" cy="9953625"/>
              <wp:effectExtent l="6350" t="6350" r="22225" b="22225"/>
              <wp:wrapNone/>
              <wp:docPr id="98" name="矩形 98"/>
              <wp:cNvGraphicFramePr/>
              <a:graphic xmlns:a="http://schemas.openxmlformats.org/drawingml/2006/main">
                <a:graphicData uri="http://schemas.microsoft.com/office/word/2010/wordprocessingShape">
                  <wps:wsp>
                    <wps:cNvSpPr/>
                    <wps:spPr>
                      <a:xfrm>
                        <a:off x="0" y="0"/>
                        <a:ext cx="7019925" cy="9953625"/>
                      </a:xfrm>
                      <a:prstGeom prst="rect">
                        <a:avLst/>
                      </a:prstGeom>
                      <a:solidFill>
                        <a:srgbClr val="FFFFFF">
                          <a:alpha val="73000"/>
                        </a:srgbClr>
                      </a:solidFill>
                      <a:ln>
                        <a:solidFill>
                          <a:srgbClr val="7EC1E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8pt;margin-top:-0.2pt;height:783.75pt;width:552.75pt;z-index:251663360;v-text-anchor:middle;mso-width-relative:page;mso-height-relative:page;" fillcolor="#FFFFFF" filled="t" stroked="t" coordsize="21600,21600" o:gfxdata="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D1gxEK2QAAAAoBAAAPAAAA&#10;AAAAAAEAIAAAACIAAABkcnMvZG93bnJldi54bWxQSwECFAAUAAAACACHTuJAUfTsz4YCAAAYBQAA&#10;DgAAAAAAAAABACAAAAAoAQAAZHJzL2Uyb0RvYy54bWxQSwUGAAAAAAYABgBZAQAAIAYAAAAA&#10;">
              <v:fill on="t" opacity="47841f" focussize="0,0"/>
              <v:stroke weight="1pt" color="#7EC1E1 [3204]" miterlimit="8" joinstyle="miter"/>
              <v:imagedata o:title=""/>
              <o:lock v:ext="edit" aspectratio="f"/>
            </v:rect>
          </w:pict>
        </mc:Fallback>
      </mc:AlternateContent>
    </w:r>
    <w:r>
      <w:rPr>
        <w:sz w:val="18"/>
      </w:rPr>
      <mc:AlternateContent>
        <mc:Choice Requires="wps">
          <w:drawing>
            <wp:anchor distT="0" distB="0" distL="114300" distR="114300" simplePos="0" relativeHeight="251660288" behindDoc="0" locked="0" layoutInCell="1" allowOverlap="1">
              <wp:simplePos x="0" y="0"/>
              <wp:positionH relativeFrom="column">
                <wp:posOffset>249555</wp:posOffset>
              </wp:positionH>
              <wp:positionV relativeFrom="paragraph">
                <wp:posOffset>5715</wp:posOffset>
              </wp:positionV>
              <wp:extent cx="6840220" cy="9972040"/>
              <wp:effectExtent l="6350" t="6350" r="11430" b="2286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chemeClr val="bg1">
                          <a:alpha val="55000"/>
                        </a:schemeClr>
                      </a:solidFill>
                      <a:ln>
                        <a:solidFill>
                          <a:schemeClr val="bg1">
                            <a:lumMod val="95000"/>
                          </a:schemeClr>
                        </a:solidFill>
                        <a:prstDash val="solid"/>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60288;v-text-anchor:middle;mso-width-relative:page;mso-height-relative:page;" fillcolor="#FFFFFF [3212]" filled="t" stroked="t" coordsize="21600,21600" o:gfxdata="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LbM&#10;U1bYAAAACQEAAA8AAAAAAAAAAQAgAAAAIgAAAGRycy9kb3ducmV2LnhtbFBLAQIUABQAAAAIAIdO&#10;4kC3d1dhlQIAAEIFAAAOAAAAAAAAAAEAIAAAACcBAABkcnMvZTJvRG9jLnhtbFBLBQYAAAAABgAG&#10;AFkBAAAuBgAAAAA=&#10;">
              <v:fill on="t" opacity="36044f" focussize="0,0"/>
              <v:stroke weight="1pt" color="#F2F2F2 [3052]" miterlimit="8" joinstyle="miter"/>
              <v:imagedata o:title=""/>
              <o:lock v:ext="edit" aspectratio="f"/>
            </v:rect>
          </w:pict>
        </mc:Fallback>
      </mc:AlternateContent>
    </w:r>
    <w:r>
      <w:drawing>
        <wp:anchor distT="0" distB="0" distL="114300" distR="114300" simplePos="0" relativeHeight="251662336" behindDoc="0" locked="0" layoutInCell="1" allowOverlap="1">
          <wp:simplePos x="0" y="0"/>
          <wp:positionH relativeFrom="column">
            <wp:posOffset>-189230</wp:posOffset>
          </wp:positionH>
          <wp:positionV relativeFrom="paragraph">
            <wp:posOffset>-476250</wp:posOffset>
          </wp:positionV>
          <wp:extent cx="7640955" cy="10807700"/>
          <wp:effectExtent l="0" t="0" r="17145" b="12700"/>
          <wp:wrapNone/>
          <wp:docPr id="95" name="图片 95" descr="临床医生背景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临床医生背景图片"/>
                  <pic:cNvPicPr>
                    <a:picLocks noChangeAspect="1"/>
                  </pic:cNvPicPr>
                </pic:nvPicPr>
                <pic:blipFill>
                  <a:blip r:embed="rId1"/>
                  <a:stretch>
                    <a:fillRect/>
                  </a:stretch>
                </pic:blipFill>
                <pic:spPr>
                  <a:xfrm>
                    <a:off x="0" y="0"/>
                    <a:ext cx="7640955" cy="10807700"/>
                  </a:xfrm>
                  <a:prstGeom prst="rect">
                    <a:avLst/>
                  </a:prstGeom>
                </pic:spPr>
              </pic:pic>
            </a:graphicData>
          </a:graphic>
        </wp:anchor>
      </w:drawing>
    </w:r>
    <w:r>
      <w:rPr>
        <w:rFonts w:hint="eastAsia" w:eastAsia="宋体"/>
        <w:lang w:eastAsia="zh-CN"/>
      </w:rPr>
      <w:drawing>
        <wp:anchor distT="0" distB="0" distL="114300" distR="114300" simplePos="0" relativeHeight="251659264" behindDoc="1" locked="0" layoutInCell="1" allowOverlap="1">
          <wp:simplePos x="0" y="0"/>
          <wp:positionH relativeFrom="column">
            <wp:posOffset>-113030</wp:posOffset>
          </wp:positionH>
          <wp:positionV relativeFrom="paragraph">
            <wp:posOffset>-350520</wp:posOffset>
          </wp:positionV>
          <wp:extent cx="7559040" cy="10692130"/>
          <wp:effectExtent l="0" t="0" r="3810" b="13970"/>
          <wp:wrapNone/>
          <wp:docPr id="7" name="图片 7"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医学背景2"/>
                  <pic:cNvPicPr>
                    <a:picLocks noChangeAspect="1"/>
                  </pic:cNvPicPr>
                </pic:nvPicPr>
                <pic:blipFill>
                  <a:blip r:embed="rId2"/>
                  <a:stretch>
                    <a:fillRect/>
                  </a:stretch>
                </pic:blipFill>
                <pic:spPr>
                  <a:xfrm>
                    <a:off x="0" y="0"/>
                    <a:ext cx="7559040" cy="10692130"/>
                  </a:xfrm>
                  <a:prstGeom prst="rect">
                    <a:avLst/>
                  </a:prstGeom>
                </pic:spPr>
              </pic:pic>
            </a:graphicData>
          </a:graphic>
        </wp:anchor>
      </w:drawing>
    </w:r>
  </w:p>
  <w:p w14:paraId="76D56191">
    <w:pPr>
      <w:pStyle w:val="9"/>
      <w:pBdr>
        <w:bottom w:val="none" w:color="auto" w:sz="0" w:space="1"/>
      </w:pBdr>
      <w:rPr>
        <w:rFonts w:hint="eastAsia" w:eastAsia="宋体"/>
        <w:lang w:eastAsia="zh-CN"/>
      </w:rPr>
    </w:pPr>
    <w:r>
      <w:rPr>
        <w:rFonts w:hint="eastAsia" w:eastAsia="宋体"/>
        <w:lang w:eastAsia="zh-CN"/>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2"/>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DB6F23">
    <w:pPr>
      <w:pStyle w:val="9"/>
      <w:pBdr>
        <w:bottom w:val="none" w:color="auto" w:sz="0" w:space="1"/>
      </w:pBdr>
      <w:rPr>
        <w:rFonts w:hint="eastAsia" w:eastAsia="宋体"/>
        <w:lang w:eastAsia="zh-CN"/>
      </w:rPr>
    </w:pPr>
    <w:r>
      <w:rPr>
        <w:rFonts w:hint="eastAsia" w:eastAsiaTheme="minorEastAsia"/>
        <w:lang w:eastAsia="zh-CN"/>
      </w:rPr>
      <w:drawing>
        <wp:anchor distT="0" distB="0" distL="114300" distR="114300" simplePos="0" relativeHeight="251661312" behindDoc="1" locked="0" layoutInCell="1" allowOverlap="1">
          <wp:simplePos x="0" y="0"/>
          <wp:positionH relativeFrom="column">
            <wp:posOffset>-224790</wp:posOffset>
          </wp:positionH>
          <wp:positionV relativeFrom="page">
            <wp:posOffset>0</wp:posOffset>
          </wp:positionV>
          <wp:extent cx="7676515" cy="7571105"/>
          <wp:effectExtent l="0" t="0" r="635" b="0"/>
          <wp:wrapNone/>
          <wp:docPr id="3" name="图片 3" descr="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92"/>
                  <pic:cNvPicPr>
                    <a:picLocks noChangeAspect="1"/>
                  </pic:cNvPicPr>
                </pic:nvPicPr>
                <pic:blipFill>
                  <a:blip r:embed="rId1"/>
                  <a:stretch>
                    <a:fillRect/>
                  </a:stretch>
                </pic:blipFill>
                <pic:spPr>
                  <a:xfrm>
                    <a:off x="0" y="0"/>
                    <a:ext cx="7676515" cy="7571105"/>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UwZDJhYjUyNWMyYTM4YmY1YzczYWE4MTIwOWE1NDY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A36214C"/>
    <w:rsid w:val="0AC91BFE"/>
    <w:rsid w:val="0C922E30"/>
    <w:rsid w:val="0E3C75E8"/>
    <w:rsid w:val="0F701672"/>
    <w:rsid w:val="1FB84519"/>
    <w:rsid w:val="2003061B"/>
    <w:rsid w:val="20F13C9B"/>
    <w:rsid w:val="238347DF"/>
    <w:rsid w:val="24B477DD"/>
    <w:rsid w:val="262D3A27"/>
    <w:rsid w:val="278141AB"/>
    <w:rsid w:val="28B578A7"/>
    <w:rsid w:val="322A12C5"/>
    <w:rsid w:val="34AD60CD"/>
    <w:rsid w:val="34B67F89"/>
    <w:rsid w:val="36807682"/>
    <w:rsid w:val="368D542E"/>
    <w:rsid w:val="388B134B"/>
    <w:rsid w:val="436C72A2"/>
    <w:rsid w:val="43CD7F64"/>
    <w:rsid w:val="44B33A23"/>
    <w:rsid w:val="45C91BBA"/>
    <w:rsid w:val="473D70ED"/>
    <w:rsid w:val="49F41BDA"/>
    <w:rsid w:val="49F8701E"/>
    <w:rsid w:val="4C7F0E23"/>
    <w:rsid w:val="582E68E8"/>
    <w:rsid w:val="5A7C6694"/>
    <w:rsid w:val="5ACD39D4"/>
    <w:rsid w:val="5B667984"/>
    <w:rsid w:val="5FFC3909"/>
    <w:rsid w:val="600E33E1"/>
    <w:rsid w:val="622A303A"/>
    <w:rsid w:val="69CD0D21"/>
    <w:rsid w:val="6DE210EC"/>
    <w:rsid w:val="70D35CA6"/>
    <w:rsid w:val="723010AC"/>
    <w:rsid w:val="7E1F5A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unhideWhenUsed/>
    <w:qFormat/>
    <w:uiPriority w:val="0"/>
    <w:rPr>
      <w:rFonts w:eastAsia="黑体" w:asciiTheme="majorHAnsi" w:hAnsiTheme="majorHAnsi" w:cstheme="majorBidi"/>
      <w:sz w:val="20"/>
      <w:szCs w:val="20"/>
    </w:rPr>
  </w:style>
  <w:style w:type="paragraph" w:styleId="8">
    <w:name w:val="footer"/>
    <w:basedOn w:val="1"/>
    <w:link w:val="19"/>
    <w:unhideWhenUsed/>
    <w:qFormat/>
    <w:uiPriority w:val="99"/>
    <w:pPr>
      <w:tabs>
        <w:tab w:val="center" w:pos="4153"/>
        <w:tab w:val="right" w:pos="8306"/>
      </w:tabs>
      <w:snapToGrid w:val="0"/>
      <w:jc w:val="left"/>
    </w:pPr>
    <w:rPr>
      <w:sz w:val="18"/>
      <w:szCs w:val="18"/>
    </w:rPr>
  </w:style>
  <w:style w:type="paragraph" w:styleId="9">
    <w:name w:val="header"/>
    <w:basedOn w:val="1"/>
    <w:link w:val="18"/>
    <w:unhideWhenUsed/>
    <w:qFormat/>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customXml" Target="../customXml/item1.xml"/><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20</Pages>
  <Words>10970</Words>
  <Characters>11125</Characters>
  <Lines>1</Lines>
  <Paragraphs>1</Paragraphs>
  <TotalTime>0</TotalTime>
  <ScaleCrop>false</ScaleCrop>
  <LinksUpToDate>false</LinksUpToDate>
  <CharactersWithSpaces>11193</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2025-07-25T08:19:31Z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8A2E5A1C07104BFEAB5EC7D5C71A84B4_13</vt:lpwstr>
  </property>
  <property fmtid="{D5CDD505-2E9C-101B-9397-08002B2CF9AE}" pid="4" name="KSOTemplateDocerSaveRecord">
    <vt:lpwstr>eyJoZGlkIjoiOTcxZjc4Y2ViNTBlZDVmZTI3YTAxZGE1NWVmM2E2NDEiLCJ1c2VySWQiOiI0MDMzMDA2MzYifQ==</vt:lpwstr>
  </property>
</Properties>
</file>